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8thme6yl8v0" w:id="0"/>
      <w:bookmarkEnd w:id="0"/>
      <w:r w:rsidDel="00000000" w:rsidR="00000000" w:rsidRPr="00000000">
        <w:rPr>
          <w:rtl w:val="0"/>
        </w:rPr>
        <w:t xml:space="preserve">Arcade Component Specs: Dimmer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https://www.figma.com/design/fu8vNWffYkGUMyznuQyzhc/02-Arcade---Mobile?node-id=73280-37714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ob3m6ocpddv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 Always use behind modals and half sheets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Indicates background is non-interactive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qrwumcynm10" w:id="2"/>
      <w:bookmarkEnd w:id="2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Semi-transparent overlay (full screen)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o3s1nxmhdnh5" w:id="3"/>
      <w:bookmarkEnd w:id="3"/>
      <w:r w:rsidDel="00000000" w:rsidR="00000000" w:rsidRPr="00000000">
        <w:rPr>
          <w:rtl w:val="0"/>
        </w:rPr>
        <w:t xml:space="preserve">Visual Appearance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Dark semi-transparent overlay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Opacity: ~40-60%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akbiwna7wcj" w:id="4"/>
      <w:bookmarkEnd w:id="4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Width: Full screen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Height: Full screen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ve8ld5qmadtw" w:id="5"/>
      <w:bookmarkEnd w:id="5"/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Sits in z-index stack between background and overlay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Prevents interaction with background content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Tappable to dismiss overlay in some contexts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73280-377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