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2qkicsxadh3" w:id="0"/>
      <w:bookmarkEnd w:id="0"/>
      <w:r w:rsidDel="00000000" w:rsidR="00000000" w:rsidRPr="00000000">
        <w:rPr>
          <w:rtl w:val="0"/>
        </w:rPr>
        <w:t xml:space="preserve">Arcade Component Specs: Header Section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https://www.figma.com/design/fu8vNWffYkGUMyznuQyzhc/02-Arcade---Mobile?node-id=75739-1360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eyolrb8yj21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Section titles within a screen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Required when screen has multiple distinct sections — every section must have 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NUX screens · Applet homescreens · Full page views · Profile screens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y0kvtrt4qm8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Show button</w:t>
      </w:r>
      <w:r w:rsidDel="00000000" w:rsidR="00000000" w:rsidRPr="00000000">
        <w:rPr>
          <w:rtl w:val="0"/>
        </w:rPr>
        <w:t xml:space="preserve">: With action button (e.g., "See all") · Without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ub4ud2ptgke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Section title text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asgtg2wxsvx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 button (e.g., "See all", "Edit")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Subtitle/description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lq5cklfbfi2k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~44px typical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typography: Section scale (~20-22pt)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 below: 8-12px before section content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mlgl5sk0frh" w:id="6"/>
      <w:bookmarkEnd w:id="6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Left-aligned by default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 action button right-aligned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Positioned above section content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5739-13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