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4u7hbyz0enm" w:id="0"/>
      <w:bookmarkEnd w:id="0"/>
      <w:r w:rsidDel="00000000" w:rsidR="00000000" w:rsidRPr="00000000">
        <w:rPr>
          <w:rtl w:val="0"/>
        </w:rPr>
        <w:t xml:space="preserve">Block Terminology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Approved corporate terms for Block. Use only in appropriate contexts.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ggi9orwos3e" w:id="1"/>
      <w:bookmarkEnd w:id="1"/>
      <w:r w:rsidDel="00000000" w:rsidR="00000000" w:rsidRPr="00000000">
        <w:rPr>
          <w:rtl w:val="0"/>
        </w:rPr>
        <w:t xml:space="preserve">Brand Names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Block (corporate parent company)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"Block, Inc.", "the Block", "BLOCK"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Example: "Block builds tools for economic empowerment"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Notes: Use when referring to the parent company; avoid in product-specific contexts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Block,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Block, Inc. (legal contexts only)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use: In general marketing or product copy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Example: "© 2024 Block, Inc."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Notes: Reserved for legal, financial, or formal corporate communications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