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40"/>
          <w:szCs w:val="40"/>
        </w:rPr>
        <w:t xml:space="preserve">ReasonDx Content Expansion - Phase 1 Summary</w:t>
      </w:r>
    </w:p>
    <w:p>
      <w:pPr>
        <w:spacing w:after="300"/>
        <w:jc w:val="center"/>
      </w:pPr>
      <w:r>
        <w:rPr>
          <w:color w:val="666666"/>
          <w:sz w:val="26"/>
          <w:szCs w:val="26"/>
        </w:rPr>
        <w:t xml:space="preserve">42 New Modules &amp; CRTs Ready for Integration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This expansion adds comprehensive coverage across multiple high-priority areas identified as gaps in the original DxSuite. All modules follow ReasonDx standards with tabbed interfaces, interactive quizzes, mnemonics, and open-access references.</w:t>
      </w:r>
    </w:p>
    <w:p>
      <w:pPr>
        <w:pStyle w:val="Heading2"/>
      </w:pPr>
      <w:r>
        <w:t xml:space="preserve">New OB/GYN Suite (Critical Gap - NOW FILLED)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Module/CRT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labor-delivery-module.html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Stages of labor, Bishop score, cardinal movements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fhr-interpreter.html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FHR tracing interpreter with NICHD categories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preeclampsia-module.html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Diagnosis, severe features, HELLP, management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preeclampsia-crt.html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case: severe headache at 34 weeks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postpartum-hemorrhage-module.html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T's, uterotonics, surgical options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gestational-diabetes-module.html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Screening, diagnosis, management, complications</w:t>
            </w:r>
          </w:p>
        </w:tc>
      </w:tr>
    </w:tbl>
    <w:p>
      <w:pPr>
        <w:pStyle w:val="Heading2"/>
      </w:pPr>
      <w:r>
        <w:t xml:space="preserve">Radiology/Imaging Suite (Major Gap - NOW FILLED)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chest-xray-module.html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ABCDEFGHI approach, RIPE quality, common pathology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abdominal-ct-module.html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Contrast phases, HU values, emergency patterns</w:t>
            </w:r>
          </w:p>
        </w:tc>
      </w:tr>
    </w:tbl>
    <w:p>
      <w:pPr>
        <w:pStyle w:val="Heading2"/>
      </w:pPr>
      <w:r>
        <w:t xml:space="preserve">Rheumatology Suite (Major Gap - NOW FILLED)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autoantibody-module.html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 patterns, lupus/myositis/scleroderma/RA antibodies</w:t>
            </w:r>
          </w:p>
        </w:tc>
      </w:tr>
    </w:tbl>
    <w:p>
      <w:pPr>
        <w:pStyle w:val="Heading2"/>
      </w:pPr>
      <w:r>
        <w:t xml:space="preserve">Surgery Clerkship Essentials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Module/CRT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A0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preop-evaluation-module.html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Cardiac risk, RCRI, medication management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postop-fever-5ws-crt.html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case: Wind/Water/Wound/Walking/Wonder drugs</w:t>
            </w:r>
          </w:p>
        </w:tc>
      </w:tr>
    </w:tbl>
    <w:p>
      <w:pPr>
        <w:pStyle w:val="Heading2"/>
      </w:pPr>
      <w:r>
        <w:t xml:space="preserve">Embryology Expansion (Complete)</w:t>
      </w:r>
    </w:p>
    <w:p>
      <w:pPr>
        <w:spacing w:after="100"/>
      </w:pPr>
      <w:r>
        <w:t xml:space="preserve">All 4 priority areas from gap analysis now complete:</w:t>
      </w:r>
    </w:p>
    <w:p>
      <w:pPr>
        <w:pStyle w:val="ListParagraph"/>
        <w:numPr>
          <w:ilvl w:val="0"/>
          <w:numId w:val="2"/>
        </w:numPr>
      </w:pPr>
      <w:r>
        <w:t xml:space="preserve">GI Embryology - foregut/midgut/hindgut, rotation, anomalies</w:t>
      </w:r>
    </w:p>
    <w:p>
      <w:pPr>
        <w:pStyle w:val="ListParagraph"/>
        <w:numPr>
          <w:ilvl w:val="0"/>
          <w:numId w:val="2"/>
        </w:numPr>
      </w:pPr>
      <w:r>
        <w:t xml:space="preserve">Neuro Embryology - neural tube, brain vesicles, neural crest</w:t>
      </w:r>
    </w:p>
    <w:p>
      <w:pPr>
        <w:pStyle w:val="ListParagraph"/>
        <w:numPr>
          <w:ilvl w:val="0"/>
          <w:numId w:val="2"/>
        </w:numPr>
      </w:pPr>
      <w:r>
        <w:t xml:space="preserve">Respiratory Embryology - 5 lung stages, diaphragm, surfactant</w:t>
      </w:r>
    </w:p>
    <w:p>
      <w:pPr>
        <w:pStyle w:val="ListParagraph"/>
        <w:numPr>
          <w:ilvl w:val="0"/>
          <w:numId w:val="2"/>
        </w:numPr>
      </w:pPr>
      <w:r>
        <w:t xml:space="preserve">MSK Embryology - somites, limb development, ossification</w:t>
      </w:r>
    </w:p>
    <w:p>
      <w:r>
        <w:br w:type="page"/>
      </w:r>
    </w:p>
    <w:p>
      <w:pPr>
        <w:pStyle w:val="Heading1"/>
      </w:pPr>
      <w:r>
        <w:t xml:space="preserve">Complete File Inventory (42 HTML Files)</w:t>
      </w:r>
    </w:p>
    <w:p>
      <w:pPr>
        <w:pStyle w:val="Heading2"/>
      </w:pPr>
      <w:r>
        <w:t xml:space="preserve">Master Modules (Educational Content)</w:t>
      </w:r>
    </w:p>
    <w:p>
      <w:r>
        <w:t xml:space="preserve">abdominal-ct-module.html, anxiety-disorders-module.html, aortic-arch-development-module.html, autoantibody-module.html, cardiac-embryology-module.html, chest-xray-module.html, coagulation-cascade-module.html, eye-ear-embryology-module.html, gestational-diabetes-module.html, gi-embryology-module.html, labor-delivery-module.html, msk-embryology-module.html, neonatal-jaundice-module.html, neuro-embryology-module.html, placenta-twins-module.html, postpartum-hemorrhage-module.html, preeclampsia-module.html, preop-evaluation-module.html, respiratory-embryology-module.html, shock-module.html, suicide-risk-module.html, teratology-module.html, ventilator-module.html</w:t>
      </w:r>
    </w:p>
    <w:p>
      <w:pPr>
        <w:pStyle w:val="Heading2"/>
        <w:spacing w:before="200"/>
      </w:pPr>
      <w:r>
        <w:t xml:space="preserve">Clinical Reasoning Trainers (Interactive Cases)</w:t>
      </w:r>
    </w:p>
    <w:p>
      <w:r>
        <w:t xml:space="preserve">biliary-atresia-crt.html, bowel-obstruction-crt.html, cyanotic-chd-crt.html, digeorge-22q11-crt.html, dyspnea-workup-crt.html, gi-embryology-malrotation-crt.html, hirschsprung-crt.html, imperforate-anus-crt.html, neonatal-jaundice-crt.html, neonatal-surgical-emergencies-crt.html, neural-tube-defects-crt.html, postop-fever-5ws-crt.html, postop-fever-crt.html, pph-crt.html, preeclampsia-crt.html, tef-esophageal-atresia-crt.html</w:t>
      </w:r>
    </w:p>
    <w:p>
      <w:pPr>
        <w:pStyle w:val="Heading2"/>
        <w:spacing w:before="200"/>
      </w:pPr>
      <w:r>
        <w:t xml:space="preserve">Interactive Tools</w:t>
      </w:r>
    </w:p>
    <w:p>
      <w:r>
        <w:t xml:space="preserve">bilirubin-interpreter.html - Neonatal bilirubin risk stratification
fhr-interpreter.html - Fetal heart rate tracing interpreter</w:t>
      </w:r>
    </w:p>
    <w:p>
      <w:pPr>
        <w:pStyle w:val="Heading1"/>
      </w:pPr>
      <w:r>
        <w:t xml:space="preserve">Integration Instructions</w:t>
      </w:r>
    </w:p>
    <w:p>
      <w:pPr>
        <w:pStyle w:val="ListParagraph"/>
        <w:numPr>
          <w:ilvl w:val="0"/>
          <w:numId w:val="2"/>
        </w:numPr>
      </w:pPr>
      <w:r>
        <w:t xml:space="preserve">Place *-module.html files in DxSuite/mechanism/</w:t>
      </w:r>
    </w:p>
    <w:p>
      <w:pPr>
        <w:pStyle w:val="ListParagraph"/>
        <w:numPr>
          <w:ilvl w:val="0"/>
          <w:numId w:val="2"/>
        </w:numPr>
      </w:pPr>
      <w:r>
        <w:t xml:space="preserve">Place *-crt.html files in DxSuite/ReasonDx/adventure-cases/</w:t>
      </w:r>
    </w:p>
    <w:p>
      <w:pPr>
        <w:pStyle w:val="ListParagraph"/>
        <w:numPr>
          <w:ilvl w:val="0"/>
          <w:numId w:val="2"/>
        </w:numPr>
      </w:pPr>
      <w:r>
        <w:t xml:space="preserve">Place *-interpreter.html tools in DxSuite/mechanism/ or dedicated tools folder</w:t>
      </w:r>
    </w:p>
    <w:p>
      <w:pPr>
        <w:pStyle w:val="ListParagraph"/>
        <w:numPr>
          <w:ilvl w:val="0"/>
          <w:numId w:val="2"/>
        </w:numPr>
      </w:pPr>
      <w:r>
        <w:t xml:space="preserve">Update navigation index files to include new content</w:t>
      </w:r>
    </w:p>
    <w:p>
      <w:pPr>
        <w:pStyle w:val="ListParagraph"/>
        <w:numPr>
          <w:ilvl w:val="0"/>
          <w:numId w:val="2"/>
        </w:numPr>
      </w:pPr>
      <w:r>
        <w:t xml:space="preserve">Verify cross-links after placement</w:t>
      </w:r>
    </w:p>
    <w:p>
      <w:pPr>
        <w:pStyle w:val="Heading1"/>
      </w:pPr>
      <w:r>
        <w:t xml:space="preserve">Roadmap Reference</w:t>
      </w:r>
    </w:p>
    <w:p>
      <w:r>
        <w:t xml:space="preserve">See ReasonDx-Expansion-Roadmap.docx for the complete expansion plan including remaining priorities for Phase 2 development.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</w:pPr>
    <w:rPr>
      <w:rFonts w:ascii="Arial" w:cs="Arial" w:eastAsia="Arial" w:hAnsi="Arial"/>
      <w:b/>
      <w:bCs/>
      <w:color w:val="2E5A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2026-01-29T03:40:16.349Z</dcterms:created>
  <dcterms:modified xsi:type="dcterms:W3CDTF">2026-01-29T03:40:16.351Z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