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ACC/AHA Heart Failure Guidelines 2022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Clinical Reference for ReasonDx Case Development</w:t>
      </w:r>
    </w:p>
    <w:p>
      <w:pPr>
        <w:spacing w:after="400"/>
        <w:jc w:val="center"/>
      </w:pPr>
      <w:r>
        <w:rPr>
          <w:color w:val="999999"/>
          <w:sz w:val="18"/>
          <w:szCs w:val="18"/>
        </w:rPr>
        <w:t xml:space="preserve">Compiled from open-access sources • December 2025</w:t>
      </w:r>
    </w:p>
    <w:p>
      <w:pPr>
        <w:pStyle w:val="Heading1"/>
      </w:pPr>
      <w:r>
        <w:t xml:space="preserve">1. Heart Failure Classification by LVEF</w:t>
      </w:r>
    </w:p>
    <w:p>
      <w:pPr>
        <w:spacing w:after="200"/>
      </w:pPr>
      <w:r>
        <w:t xml:space="preserve">The 2022 guidelines define four categories based on left ventricular ejection fraction: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LVEF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HFrEF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≤40%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Heart Failure with Reduced Ejection Fraction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HFmrEF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41-49%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Heart Failure with Mildly Reduced EF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HFpEF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≥50%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Heart Failure with Preserved Ejection Fraction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HFimpEF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&gt;40%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HF with Improved EF (previously HFrEF)</w:t>
            </w:r>
          </w:p>
        </w:tc>
      </w:tr>
    </w:tbl>
    <w:p>
      <w:pPr>
        <w:pStyle w:val="Heading1"/>
      </w:pPr>
      <w:r>
        <w:t xml:space="preserve">2. Heart Failure Stages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5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At Risk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Risk factors (HTN, DM, CAD, obesity) without structural disease or symptoms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Pre-HF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Structural heart disease OR elevated biomarkers, but NO symptoms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Symptomatic HF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Structural disease WITH current or prior HF symptoms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Advanced HF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Refractory symptoms requiring specialized interventions (MCS, transplant, hospice)</w:t>
            </w:r>
          </w:p>
        </w:tc>
      </w:tr>
    </w:tbl>
    <w:p>
      <w:pPr>
        <w:pStyle w:val="Heading1"/>
      </w:pPr>
      <w:r>
        <w:t xml:space="preserve">3. Natriuretic Peptide Thresholds</w:t>
      </w:r>
    </w:p>
    <w:p>
      <w:pPr>
        <w:pStyle w:val="Heading2"/>
      </w:pPr>
      <w:r>
        <w:t xml:space="preserve">3.1 Rule-Out Thresholds (Exclude HF)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0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BNP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NT-proBNP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Outpatient/Ambulatory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&lt;35 pg/mL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&lt;125 pg/mL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Emergency Department (Acute)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&lt;100 pg/mL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&lt;300 pg/mL</w:t>
            </w:r>
          </w:p>
        </w:tc>
      </w:tr>
    </w:tbl>
    <w:p>
      <w:pPr>
        <w:pStyle w:val="Heading2"/>
      </w:pPr>
      <w:r>
        <w:t xml:space="preserve">3.2 Age-Stratified Rule-In Thresholds (NT-proBNP) - ED Setting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Age Group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NT-proBNP Rule-In Threshold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50 years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≥450 pg/mL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50-75 years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≥900 pg/mL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&gt; 75 years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≥1800 pg/mL</w:t>
            </w:r>
          </w:p>
        </w:tc>
      </w:tr>
    </w:tbl>
    <w:p>
      <w:pPr>
        <w:spacing w:before="100" w:after="200"/>
      </w:pPr>
      <w:r>
        <w:rPr>
          <w:b/>
          <w:bCs/>
        </w:rPr>
        <w:t xml:space="preserve">Note: </w:t>
      </w:r>
      <w:r>
        <w:t xml:space="preserve">NT-proBNP &gt;5000 pg/mL indicates poor prognosis requiring hospital admission and close monitoring.</w:t>
      </w:r>
    </w:p>
    <w:p>
      <w:pPr>
        <w:pStyle w:val="Heading1"/>
      </w:pPr>
      <w:r>
        <w:t xml:space="preserve">4. Guideline-Directed Medical Therapy (GDMT) for HFrEF</w:t>
      </w:r>
    </w:p>
    <w:p>
      <w:pPr>
        <w:spacing w:after="100"/>
      </w:pPr>
      <w:r>
        <w:rPr>
          <w:b/>
          <w:bCs/>
        </w:rPr>
        <w:t xml:space="preserve">The 2022 guidelines now recommend FOUR pillars of therapy </w:t>
      </w:r>
      <w:r>
        <w:t xml:space="preserve">(previously three). All Class 1 recommendations for HFrEF: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5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Drug 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Examples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Target Dose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ACEi/ARB/ARNi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Sacubitril/valsartan, Lisinopril, Losartan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Sacubitril/valsartan 97/103 mg BID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rPr>
                <w:b/>
                <w:bCs/>
              </w:rPr>
              <w:t xml:space="preserve">Beta-blockers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Carvedilol, Metoprolol succinate, Bisoprolol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Carvedilol 25 mg BID; Metoprolol 200 mg daily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Spironolactone, Eplerenone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Spironolactone 25-50 mg daily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b/>
                <w:bCs/>
                <w:color w:val="375623"/>
              </w:rPr>
              <w:t xml:space="preserve">SGLT2i (NEW)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color w:val="375623"/>
              </w:rPr>
              <w:t xml:space="preserve">Dapagliflozin, Empagliflozin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rPr>
                <w:color w:val="375623"/>
              </w:rPr>
              <w:t xml:space="preserve">Dapagliflozin 10 mg; Empagliflozin 10 mg</w:t>
            </w:r>
          </w:p>
        </w:tc>
      </w:tr>
    </w:tbl>
    <w:p>
      <w:pPr>
        <w:spacing w:before="100" w:after="200"/>
      </w:pPr>
      <w:r>
        <w:rPr>
          <w:b/>
          <w:bCs/>
          <w:color w:val="375623"/>
        </w:rPr>
        <w:t xml:space="preserve">Key Change: </w:t>
      </w:r>
      <w:r>
        <w:t xml:space="preserve">SGLT2 inhibitors are now a Class 1 recommendation for ALL patients with HFrEF regardless of diabetes status.</w:t>
      </w:r>
    </w:p>
    <w:p>
      <w:pPr>
        <w:pStyle w:val="Heading1"/>
      </w:pPr>
      <w:r>
        <w:t xml:space="preserve">5. Precipitating Factors for HF Hospitalization</w:t>
      </w:r>
    </w:p>
    <w:p>
      <w:pPr>
        <w:spacing w:after="100"/>
      </w:pPr>
      <w:r>
        <w:rPr>
          <w:i/>
          <w:iCs/>
        </w:rPr>
        <w:t xml:space="preserve">Source: OPTIMIZE-HF Registry </w:t>
      </w:r>
      <w:r>
        <w:t xml:space="preserve">(n=48,612 patients, 259 US hospitals)</w:t>
      </w:r>
    </w:p>
    <w:p>
      <w:pPr>
        <w:pStyle w:val="Heading2"/>
      </w:pPr>
      <w:r>
        <w:t xml:space="preserve">5.1 Frequency of Precipitating Factors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500"/>
        <w:gridCol w:w="200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Precipitating Factor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Pneumonia/Respiratory Process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15.3%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7,426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Ischemia/Acute Coronary Syndrome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14.7%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6,552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Arrhythmia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13.5%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7,155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Uncontrolled Hypertension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10.7%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5,220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Medication Nonadherence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8.9%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4,309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Worsening Renal Function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6.8%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3,304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Dietary Nonadherence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2,504</w:t>
            </w:r>
          </w:p>
        </w:tc>
      </w:tr>
    </w:tbl>
    <w:p>
      <w:pPr>
        <w:spacing w:before="100" w:after="100"/>
      </w:pPr>
      <w:r>
        <w:rPr>
          <w:b/>
          <w:bCs/>
        </w:rPr>
        <w:t xml:space="preserve">Key Finding: </w:t>
      </w:r>
      <w:r>
        <w:t xml:space="preserve">61.3% of patients had ≥1 identifiable precipitating factor; 19.2% had ≥2 factors.</w:t>
      </w:r>
    </w:p>
    <w:p>
      <w:pPr>
        <w:pStyle w:val="Heading2"/>
      </w:pPr>
      <w:r>
        <w:t xml:space="preserve">5.2 Mortality by Precipitating Factor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In-Hospital Mortality 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60-90 Day Mortality 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</w:tcPr>
          <w:p>
            <w:r>
              <w:t xml:space="preserve">Pneumonia/Respiratory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1.60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</w:tcPr>
          <w:p>
            <w:pPr>
              <w:jc w:val="center"/>
            </w:pPr>
            <w:r>
              <w:t xml:space="preserve">1.25 (NS)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</w:tcPr>
          <w:p>
            <w:r>
              <w:t xml:space="preserve">Ischemia/ACS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1.20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1.52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</w:tcPr>
          <w:p>
            <w:r>
              <w:t xml:space="preserve">Worsening Renal Function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1.48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1.46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t xml:space="preserve">Uncontrolled Hypertension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0.74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0.61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r>
              <w:t xml:space="preserve">Dietary Nonadherence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b/>
                <w:bCs/>
                <w:color w:val="375623"/>
              </w:rPr>
              <w:t xml:space="preserve">0.69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t xml:space="preserve">0.81 (NS)</w:t>
            </w:r>
          </w:p>
        </w:tc>
      </w:tr>
    </w:tbl>
    <w:p>
      <w:pPr>
        <w:spacing w:before="100"/>
      </w:pPr>
      <w:r>
        <w:rPr>
          <w:i/>
          <w:iCs/>
          <w:sz w:val="18"/>
          <w:szCs w:val="18"/>
        </w:rPr>
        <w:t xml:space="preserve">Red = Increased mortality; Green = Decreased mortality; NS = Not significant</w:t>
      </w:r>
    </w:p>
    <w:p>
      <w:pPr>
        <w:pStyle w:val="Heading1"/>
      </w:pPr>
      <w:r>
        <w:t xml:space="preserve">6. NYHA Class and Prognosis</w:t>
      </w:r>
    </w:p>
    <w:p>
      <w:pPr>
        <w:pStyle w:val="Heading2"/>
      </w:pPr>
      <w:r>
        <w:t xml:space="preserve">6.1 One-Year Mortality by NYHA Class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NYHA Class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Symptom Severity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1-Year Mortality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Class 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limitation of physical activity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&lt; 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Class II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Mild symptoms; slight limitation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5-10%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Class III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t xml:space="preserve">Moderate symptoms; marked limitation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10-15%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Class IV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</w:tcPr>
          <w:p>
            <w:r>
              <w:t xml:space="preserve">Severe symptoms; symptoms at rest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B" w:val="clea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30-40%</w:t>
            </w:r>
          </w:p>
        </w:tc>
      </w:tr>
    </w:tbl>
    <w:p>
      <w:pPr>
        <w:spacing w:before="100" w:after="200"/>
      </w:pPr>
      <w:r>
        <w:rPr>
          <w:i/>
          <w:iCs/>
          <w:sz w:val="18"/>
          <w:szCs w:val="18"/>
        </w:rPr>
        <w:t xml:space="preserve">Sources: SUPPORT, Framingham, IMPROVEMENT studies. Hospitalization triples 1-year mortality.</w:t>
      </w:r>
    </w:p>
    <w:p>
      <w:pPr>
        <w:pStyle w:val="Heading1"/>
      </w:pPr>
      <w:r>
        <w:t xml:space="preserve">7. Common Comorbidities in Heart Failure</w:t>
      </w:r>
    </w:p>
    <w:p>
      <w:pPr>
        <w:spacing w:after="100"/>
      </w:pPr>
      <w:r>
        <w:rPr>
          <w:i/>
          <w:iCs/>
        </w:rPr>
        <w:t xml:space="preserve">Source: Medicare data, 2022 ACC/AHA Guidelines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200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Comorbidity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Prevalence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Teaching Point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Hypertension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84%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Risk factor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Ischemic Heart Disease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72%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Etiology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Hyperlipidemia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60%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CV risk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Anemia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Check iron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Diabetes Mellitus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46%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SGLT2i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Chronic Kidney Disease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42%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Drug dosing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COPD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Dyspnea DDx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Atrial Fibrillation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29%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Rate control</w:t>
            </w:r>
          </w:p>
        </w:tc>
      </w:tr>
    </w:tbl>
    <w:p>
      <w:pPr>
        <w:pStyle w:val="Heading1"/>
      </w:pPr>
      <w:r>
        <w:t xml:space="preserve">8. Key Clinical Pearls for Case Development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BNP for dyspnea evaluation: </w:t>
      </w:r>
      <w:r>
        <w:t xml:space="preserve">Class 1A recommendation in 2022 guidelines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SGLT2 inhibitors: </w:t>
      </w:r>
      <w:r>
        <w:t xml:space="preserve">New Class 1 recommendation for ALL HFrEF patients (regardless of diabetes)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Stage B (Pre-HF): </w:t>
      </w:r>
      <w:r>
        <w:t xml:space="preserve">Structural disease or elevated biomarkers WITHOUT symptoms - key teaching point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Nonadherence paradox: </w:t>
      </w:r>
      <w:r>
        <w:t xml:space="preserve">Lower in-hospital mortality (easier to stabilize) but HIGH readmission risk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Pneumonia: </w:t>
      </w:r>
      <w:r>
        <w:t xml:space="preserve">Most common precipitant AND highest in-hospital mortality (OR 1.60)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Renal function: </w:t>
      </w:r>
      <w:r>
        <w:t xml:space="preserve">Worsening renal function = highest 90-day mortality (OR 1.48 in-hospital, 1.46 post-discharge)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Hypertensive crisis: </w:t>
      </w:r>
      <w:r>
        <w:t xml:space="preserve">Actually BETTER prognosis (OR 0.74) - readily stabilized with BP control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NYHA progression: </w:t>
      </w:r>
      <w:r>
        <w:t xml:space="preserve">Each class increase roughly doubles mortality risk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Hospitalization impact: </w:t>
      </w:r>
      <w:r>
        <w:t xml:space="preserve">Triples 1-year mortality; nearly 1 in 10 die within 30 days of admission</w:t>
      </w:r>
    </w:p>
    <w:p>
      <w:pPr>
        <w:pStyle w:val="Heading1"/>
      </w:pPr>
      <w:r>
        <w:t xml:space="preserve">Sources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2022 AHA/ACC/HFSA Guideline for the Management of Heart Failure. </w:t>
      </w:r>
      <w:r>
        <w:rPr>
          <w:i/>
          <w:iCs/>
        </w:rPr>
        <w:t xml:space="preserve">Circulation</w:t>
      </w:r>
      <w:r>
        <w:t xml:space="preserve">. 2022;145:e895-e1032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Fonarow GC et al. Factors Identified as Precipitating Hospital Admissions for Heart Failure: OPTIMIZE-HF. </w:t>
      </w:r>
      <w:r>
        <w:rPr>
          <w:i/>
          <w:iCs/>
        </w:rPr>
        <w:t xml:space="preserve">Arch Intern Med</w:t>
      </w:r>
      <w:r>
        <w:t xml:space="preserve">. 2008;168(8):847-854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HFA-ESC Consensus: NT-proBNP algorithms for HF diagnosis. </w:t>
      </w:r>
      <w:r>
        <w:rPr>
          <w:i/>
          <w:iCs/>
        </w:rPr>
        <w:t xml:space="preserve">Eur J Heart Fail</w:t>
      </w:r>
      <w:r>
        <w:t xml:space="preserve">. 2023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Palliative Care Network of Wisconsin: Prognostication in Heart Failure (SUPPORT, Framingham, IMPROVEMENT data)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ReasonDx Clinical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2025-12-21T14:38:04.936Z</dcterms:created>
  <dcterms:modified xsi:type="dcterms:W3CDTF">2025-12-21T14:38:04.937Z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