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AHA/ASA Acute Ischemic Stroke Guidelines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2019 Early Management &amp; 2021 Secondary Prevention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Clinical Reference for ReasonDx Case Development • December 2025</w:t>
      </w:r>
    </w:p>
    <w:p>
      <w:pPr>
        <w:pStyle w:val="Heading1"/>
      </w:pPr>
      <w:r>
        <w:t xml:space="preserve">1. Stroke Severity Assessment: NIHSS</w:t>
      </w:r>
    </w:p>
    <w:p>
      <w:pPr>
        <w:spacing w:after="100"/>
      </w:pPr>
      <w:r>
        <w:t xml:space="preserve">The National Institutes of Health Stroke Scale (NIHSS) is a 15-item standardized assessment scored 0-42, with higher scores indicating greater severity.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NIHSS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Clinical Implications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symptoms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Normal neurological exam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Minor stroke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80% discharge home; DAPT candidate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5-15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Moderate stroke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Typically requires acute inpatient rehab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16-20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Moderate-Severe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Often requires long-term skilled care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21-42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Severe stroke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17% ICH risk with tPA; poor prognosis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Key Teaching Point: </w:t>
      </w:r>
      <w:r>
        <w:t xml:space="preserve">NIHSS ≥6 is the threshold for mechanical thrombectomy eligibility. Each 1-point increase reduces odds of excellent outcome by 17% at 3 months.</w:t>
      </w:r>
    </w:p>
    <w:p>
      <w:pPr>
        <w:pStyle w:val="Heading1"/>
      </w:pPr>
      <w:r>
        <w:t xml:space="preserve">2. Treatment Time Windows</w:t>
      </w:r>
    </w:p>
    <w:p>
      <w:pPr>
        <w:pStyle w:val="Heading2"/>
      </w:pPr>
      <w:r>
        <w:t xml:space="preserve">2.1 IV Alteplase (tPA)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0-3 hours: </w:t>
      </w:r>
      <w:r>
        <w:t xml:space="preserve">Class I recommendation for all eligible patients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3-4.5 hours: </w:t>
      </w:r>
      <w:r>
        <w:t xml:space="preserve">Class I for select patients (ECASS-III criteria)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Wake-up stroke: </w:t>
      </w:r>
      <w:r>
        <w:t xml:space="preserve">Class IIa if DWI lesion &lt;1/3 MCA territory with DWI-FLAIR mismatch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Dosing: </w:t>
      </w:r>
      <w:r>
        <w:t xml:space="preserve">0.9 mg/kg (max 90 mg); 10% bolus over 1 min, remainder over 60 min</w:t>
      </w:r>
    </w:p>
    <w:p>
      <w:pPr>
        <w:pStyle w:val="Heading2"/>
      </w:pPr>
      <w:r>
        <w:t xml:space="preserve">2.2 Mechanical Thrombectomy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 Window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Eligibility Criteria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0-6 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NIHSS ≥6, ASPECTS ≥6, ICA/M1 occlusion, pre-stroke mRS 0-1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 I, Level A (HERMES trials)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6-16 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Meet DEFUSE-3 criteria: Core &lt;70mL, mismatch ratio &gt;1.8, mismatch volume &gt;15mL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 I, Level A (DEFUSE-3)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6-24 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Meet DAWN criteria: Clinical-core mismatch based on age, NIHSS, core volume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 I, Level A (DAWN); NNT=2.8</w:t>
            </w:r>
          </w:p>
        </w:tc>
      </w:tr>
    </w:tbl>
    <w:p>
      <w:pPr>
        <w:pStyle w:val="Heading1"/>
      </w:pPr>
      <w:r>
        <w:t xml:space="preserve">3. Blood Pressure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Clinical 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BP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Agents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Pre-tPA eligibility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&lt;185/110 mmHg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Labetalol, Nicardipine, Clevidipine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During/after tPA (24h)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&lt;180/105 mmHg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Continuous infusion preferred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reperfusion therapy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&lt;220/120 mmHg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Permissive hypertension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Post-thrombectomy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&lt;180/110 mmHg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Some evidence for &lt;140 SBP</w:t>
            </w:r>
          </w:p>
        </w:tc>
      </w:tr>
    </w:tbl>
    <w:p>
      <w:pPr>
        <w:pStyle w:val="Heading1"/>
      </w:pPr>
      <w:r>
        <w:t xml:space="preserve">4. ASPECTS (Alberta Stroke Program Early CT Score)</w:t>
      </w:r>
    </w:p>
    <w:p>
      <w:pPr>
        <w:spacing w:after="100"/>
      </w:pPr>
      <w:r>
        <w:t xml:space="preserve">A 10-point topographic CT score for MCA territory strokes. Start at 10, subtract 1 point for each region with early ischemic changes.</w:t>
      </w:r>
    </w:p>
    <w:p>
      <w:pPr>
        <w:pStyle w:val="Heading2"/>
      </w:pPr>
      <w:r>
        <w:t xml:space="preserve">4.1 Regions Assessed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Subcortical (4 points): </w:t>
      </w:r>
      <w:r>
        <w:t xml:space="preserve">Caudate (C), Lentiform nucleus (L), Internal capsule (IC), Insular ribbon (I)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Cortical MCA (6 points): </w:t>
      </w:r>
      <w:r>
        <w:t xml:space="preserve">M1-M6 regions (anterior to posterior, ganglionic and supraganglionic levels)</w:t>
      </w:r>
    </w:p>
    <w:p>
      <w:pPr>
        <w:pStyle w:val="Heading2"/>
      </w:pPr>
      <w:r>
        <w:t xml:space="preserve">4.2 Clinical Interpretation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ASPECTS ≥6: </w:t>
      </w:r>
      <w:r>
        <w:t xml:space="preserve">Standard thrombectomy threshold (Class 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ASPECTS ≤7: </w:t>
      </w:r>
      <w:r>
        <w:t xml:space="preserve">Sharp increase in dependence and death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ASPECTS 3-5: </w:t>
      </w:r>
      <w:r>
        <w:t xml:space="preserve">Recent trials (SELECT2, ANGEL-ASPECT) support benefit in extended window</w:t>
      </w:r>
    </w:p>
    <w:p>
      <w:pPr>
        <w:pStyle w:val="Heading1"/>
      </w:pPr>
      <w:r>
        <w:t xml:space="preserve">5. IV Alteplase Eligibility Criteria</w:t>
      </w:r>
    </w:p>
    <w:p>
      <w:pPr>
        <w:pStyle w:val="Heading2"/>
      </w:pPr>
      <w:r>
        <w:t xml:space="preserve">5.1 Absolute Contraindications</w:t>
      </w:r>
    </w:p>
    <w:p>
      <w:pPr>
        <w:pStyle w:val="ListParagraph"/>
        <w:numPr>
          <w:ilvl w:val="0"/>
          <w:numId w:val="2"/>
        </w:numPr>
      </w:pPr>
      <w:r>
        <w:t xml:space="preserve">Active internal bleeding or known bleeding diathesis</w:t>
      </w:r>
    </w:p>
    <w:p>
      <w:pPr>
        <w:pStyle w:val="ListParagraph"/>
        <w:numPr>
          <w:ilvl w:val="0"/>
          <w:numId w:val="2"/>
        </w:numPr>
      </w:pPr>
      <w:r>
        <w:t xml:space="preserve">Recent (within 3 months) intracranial/intraspinal surgery or serious head trauma</w:t>
      </w:r>
    </w:p>
    <w:p>
      <w:pPr>
        <w:pStyle w:val="ListParagraph"/>
        <w:numPr>
          <w:ilvl w:val="0"/>
          <w:numId w:val="2"/>
        </w:numPr>
      </w:pPr>
      <w:r>
        <w:t xml:space="preserve">Current intracranial hemorrhage</w:t>
      </w:r>
    </w:p>
    <w:p>
      <w:pPr>
        <w:pStyle w:val="ListParagraph"/>
        <w:numPr>
          <w:ilvl w:val="0"/>
          <w:numId w:val="2"/>
        </w:numPr>
      </w:pPr>
      <w:r>
        <w:t xml:space="preserve">Subarachnoid hemorrhage</w:t>
      </w:r>
    </w:p>
    <w:p>
      <w:pPr>
        <w:pStyle w:val="ListParagraph"/>
        <w:numPr>
          <w:ilvl w:val="0"/>
          <w:numId w:val="2"/>
        </w:numPr>
      </w:pPr>
      <w:r>
        <w:t xml:space="preserve">Intracranial neoplasm, AVM, or aneurysm</w:t>
      </w:r>
    </w:p>
    <w:p>
      <w:pPr>
        <w:pStyle w:val="ListParagraph"/>
        <w:numPr>
          <w:ilvl w:val="0"/>
          <w:numId w:val="2"/>
        </w:numPr>
      </w:pPr>
      <w:r>
        <w:t xml:space="preserve">Platelet count &lt;100,000/mm³</w:t>
      </w:r>
    </w:p>
    <w:p>
      <w:pPr>
        <w:pStyle w:val="ListParagraph"/>
        <w:numPr>
          <w:ilvl w:val="0"/>
          <w:numId w:val="2"/>
        </w:numPr>
      </w:pPr>
      <w:r>
        <w:t xml:space="preserve">INR &gt;1.7 or PT &gt;15 seconds</w:t>
      </w:r>
    </w:p>
    <w:p>
      <w:pPr>
        <w:pStyle w:val="ListParagraph"/>
        <w:numPr>
          <w:ilvl w:val="0"/>
          <w:numId w:val="2"/>
        </w:numPr>
      </w:pPr>
      <w:r>
        <w:t xml:space="preserve">aPTT &gt;40 seconds or heparin within 48 hours</w:t>
      </w:r>
    </w:p>
    <w:p>
      <w:pPr>
        <w:pStyle w:val="ListParagraph"/>
        <w:numPr>
          <w:ilvl w:val="0"/>
          <w:numId w:val="2"/>
        </w:numPr>
      </w:pPr>
      <w:r>
        <w:t xml:space="preserve">DOAC within 48 hours (unless normal drug-specific assay)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Blood pressure &gt;185/110 mmHg</w:t>
      </w:r>
      <w:r>
        <w:t xml:space="preserve"> that cannot be controlled</w:t>
      </w:r>
    </w:p>
    <w:p>
      <w:pPr>
        <w:pStyle w:val="Heading2"/>
      </w:pPr>
      <w:r>
        <w:t xml:space="preserve">5.2 Additional 3-4.5 Hour Exclusions (ECASS-III)</w:t>
      </w:r>
    </w:p>
    <w:p>
      <w:pPr>
        <w:pStyle w:val="ListParagraph"/>
        <w:numPr>
          <w:ilvl w:val="0"/>
          <w:numId w:val="2"/>
        </w:numPr>
      </w:pPr>
      <w:r>
        <w:t xml:space="preserve">Age &gt;80 years (relative)</w:t>
      </w:r>
    </w:p>
    <w:p>
      <w:pPr>
        <w:pStyle w:val="ListParagraph"/>
        <w:numPr>
          <w:ilvl w:val="0"/>
          <w:numId w:val="2"/>
        </w:numPr>
      </w:pPr>
      <w:r>
        <w:t xml:space="preserve">NIHSS &gt;25</w:t>
      </w:r>
    </w:p>
    <w:p>
      <w:pPr>
        <w:pStyle w:val="ListParagraph"/>
        <w:numPr>
          <w:ilvl w:val="0"/>
          <w:numId w:val="2"/>
        </w:numPr>
      </w:pPr>
      <w:r>
        <w:t xml:space="preserve">Combination of prior stroke AND diabetes</w:t>
      </w:r>
    </w:p>
    <w:p>
      <w:pPr>
        <w:pStyle w:val="ListParagraph"/>
        <w:numPr>
          <w:ilvl w:val="0"/>
          <w:numId w:val="2"/>
        </w:numPr>
      </w:pPr>
      <w:r>
        <w:t xml:space="preserve">Any anticoagulant use (regardless of INR)</w:t>
      </w:r>
    </w:p>
    <w:p>
      <w:pPr>
        <w:pStyle w:val="Heading2"/>
      </w:pPr>
      <w:r>
        <w:t xml:space="preserve">5.3 Pre-Treatment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Essential: </w:t>
      </w:r>
      <w:r>
        <w:t xml:space="preserve">Non-contrast head CT and blood glucose (only tests required before tPA)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 not wait for: </w:t>
      </w:r>
      <w:r>
        <w:t xml:space="preserve">INR/PTT/platelets unless clinical suspicion of coagulopathy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Recommended (do not delay tPA): </w:t>
      </w:r>
      <w:r>
        <w:t xml:space="preserve">ECG, troponin, CBC, BMP</w:t>
      </w:r>
    </w:p>
    <w:p>
      <w:pPr>
        <w:pStyle w:val="Heading1"/>
      </w:pPr>
      <w:r>
        <w:t xml:space="preserve">6. Antiplatelet Therapy for Secondary Prevention</w:t>
      </w:r>
    </w:p>
    <w:p>
      <w:pPr>
        <w:pStyle w:val="Heading2"/>
      </w:pPr>
      <w:r>
        <w:t xml:space="preserve">6.1 General Recommendations</w:t>
      </w:r>
    </w:p>
    <w:p>
      <w:pPr>
        <w:pStyle w:val="ListParagraph"/>
        <w:numPr>
          <w:ilvl w:val="0"/>
          <w:numId w:val="2"/>
        </w:numPr>
      </w:pPr>
      <w:r>
        <w:t xml:space="preserve">Aspirin 160-325 mg within 24-48 hours of stroke onset (Class I)</w:t>
      </w:r>
    </w:p>
    <w:p>
      <w:pPr>
        <w:pStyle w:val="ListParagraph"/>
        <w:numPr>
          <w:ilvl w:val="0"/>
          <w:numId w:val="2"/>
        </w:numPr>
      </w:pPr>
      <w:r>
        <w:t xml:space="preserve">Delay aspirin 24 hours if patient received IV tPA</w:t>
      </w:r>
    </w:p>
    <w:p>
      <w:pPr>
        <w:pStyle w:val="ListParagraph"/>
        <w:numPr>
          <w:ilvl w:val="0"/>
          <w:numId w:val="2"/>
        </w:numPr>
      </w:pPr>
      <w:r>
        <w:t xml:space="preserve">Urgent anticoagulation (heparin drip) is NOT indicated for most stroke patients</w:t>
      </w:r>
    </w:p>
    <w:p>
      <w:pPr>
        <w:pStyle w:val="Heading2"/>
      </w:pPr>
      <w:r>
        <w:t xml:space="preserve">6.2 Dual Antiplatelet Therapy (DAPT)</w:t>
      </w:r>
    </w:p>
    <w:p>
      <w:pPr>
        <w:spacing w:after="100"/>
      </w:pPr>
      <w:r>
        <w:rPr>
          <w:b/>
          <w:bCs/>
        </w:rPr>
        <w:t xml:space="preserve">Class I Recommendation:</w:t>
      </w:r>
      <w:r>
        <w:t xml:space="preserve"> For minor non-cardioembolic ischemic stroke (NIHSS ≤3) or high-risk TIA (ABCD2 ≥4):</w:t>
      </w:r>
    </w:p>
    <w:p>
      <w:pPr>
        <w:pStyle w:val="ListParagraph"/>
        <w:numPr>
          <w:ilvl w:val="0"/>
          <w:numId w:val="2"/>
        </w:numPr>
      </w:pPr>
      <w:r>
        <w:t xml:space="preserve">Initiate aspirin + clopidogrel within 24 hours of symptom onset</w:t>
      </w:r>
    </w:p>
    <w:p>
      <w:pPr>
        <w:pStyle w:val="ListParagraph"/>
        <w:numPr>
          <w:ilvl w:val="0"/>
          <w:numId w:val="2"/>
        </w:numPr>
      </w:pPr>
      <w:r>
        <w:t xml:space="preserve">Continue DAPT for 21-90 days, then transition to single antiplatelet</w:t>
      </w:r>
    </w:p>
    <w:p>
      <w:pPr>
        <w:pStyle w:val="ListParagraph"/>
        <w:numPr>
          <w:ilvl w:val="0"/>
          <w:numId w:val="2"/>
        </w:numPr>
      </w:pPr>
      <w:r>
        <w:t xml:space="preserve">Loading dose: Aspirin 300 mg + Clopidogrel 300-600 mg</w:t>
      </w:r>
    </w:p>
    <w:p>
      <w:pPr>
        <w:pStyle w:val="ListParagraph"/>
        <w:numPr>
          <w:ilvl w:val="0"/>
          <w:numId w:val="2"/>
        </w:numPr>
      </w:pPr>
      <w:r>
        <w:t xml:space="preserve">Evidence: CHANCE and POINT trials showed 32% RRR in recurrent stroke</w:t>
      </w:r>
    </w:p>
    <w:p>
      <w:pPr>
        <w:spacing w:before="100" w:after="100"/>
      </w:pPr>
      <w:r>
        <w:rPr>
          <w:b/>
          <w:bCs/>
          <w:color w:val="CC0000"/>
        </w:rPr>
        <w:t xml:space="preserve">Important: </w:t>
      </w:r>
      <w:r>
        <w:t xml:space="preserve">Long-term DAPT (&gt;90 days) is NOT recommended - increases bleeding without additional benefit.</w:t>
      </w:r>
    </w:p>
    <w:p>
      <w:pPr>
        <w:pStyle w:val="Heading1"/>
      </w:pPr>
      <w:r>
        <w:t xml:space="preserve">7. Stroke Mimics and Chameleons</w:t>
      </w:r>
    </w:p>
    <w:p>
      <w:pPr>
        <w:spacing w:after="100"/>
      </w:pPr>
      <w:r>
        <w:t xml:space="preserve">Stroke mimics account for 5-31% of initial stroke diagnoses. Misdiagnosis rate is 1-20% among patients treated with tPA.</w:t>
      </w:r>
    </w:p>
    <w:p>
      <w:pPr>
        <w:pStyle w:val="Heading2"/>
      </w:pPr>
      <w:r>
        <w:t xml:space="preserve">7.1 Common Stroke Mimics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000"/>
        <w:gridCol w:w="3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Features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Seizure/Postictal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Todd's paralysis (usually &lt;3 hours), witnessed convulsions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~20% of mimics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Syncope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Loss of consciousness with rapid return to baseline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~20% of mimics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Migraine with aura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Gradual onset over 5 min, visual &gt; motor/sensory, &lt;60 min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~10% of mimics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Hypoglycemia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Autonomic symptoms, glucose often &lt;30 mg/dL if hemiparesis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Common, rapidly reversible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Conversion disorder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Non-anatomic distribution, inconsistent exam, emotional trigger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~30% of mimics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Sepsis/Infection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Encephalopathy, more gradual onset, SIRS criteria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6-20% of mimics</w:t>
            </w:r>
          </w:p>
        </w:tc>
      </w:tr>
    </w:tbl>
    <w:p>
      <w:pPr>
        <w:pStyle w:val="Heading2"/>
      </w:pPr>
      <w:r>
        <w:t xml:space="preserve">7.2 Features Distinguishing Stroke vs. Mimic</w:t>
      </w:r>
    </w:p>
    <w:p>
      <w:pPr>
        <w:spacing w:after="80"/>
      </w:pPr>
      <w:r>
        <w:rPr>
          <w:b/>
          <w:bCs/>
          <w:color w:val="CC0000"/>
        </w:rPr>
        <w:t xml:space="preserve">Suggests Stroke: </w:t>
      </w:r>
      <w:r>
        <w:t xml:space="preserve">Atrial fibrillation, focal weakness, hemiparesis, dysarthria, gaze palsy, symptoms in anatomic vascular distribution, sudden onset</w:t>
      </w:r>
    </w:p>
    <w:p>
      <w:pPr>
        <w:spacing w:after="80"/>
      </w:pPr>
      <w:r>
        <w:rPr>
          <w:b/>
          <w:bCs/>
          <w:color w:val="2874a6"/>
        </w:rPr>
        <w:t xml:space="preserve">Suggests Mimic: </w:t>
      </w:r>
      <w:r>
        <w:t xml:space="preserve">Prior seizures/epilepsy, migraine history, cognitive impairment, altered mental status, chest pain, speech change WITHOUT hemiparesis</w:t>
      </w:r>
    </w:p>
    <w:p>
      <w:pPr>
        <w:spacing w:after="100"/>
      </w:pPr>
      <w:r>
        <w:rPr>
          <w:b/>
          <w:bCs/>
        </w:rPr>
        <w:t xml:space="preserve">Key Pearl: </w:t>
      </w:r>
      <w:r>
        <w:t xml:space="preserve">27-28% of patients with negative post-thrombolysis DWI-MRI were ultimately diagnosed as stroke mimics. TIA was the most common mimic diagnosis.</w:t>
      </w:r>
    </w:p>
    <w:p>
      <w:pPr>
        <w:pStyle w:val="Heading1"/>
      </w:pPr>
      <w:r>
        <w:t xml:space="preserve">8. Neuroimaging Recommendations</w:t>
      </w:r>
    </w:p>
    <w:p>
      <w:pPr>
        <w:pStyle w:val="Heading2"/>
      </w:pPr>
      <w:r>
        <w:t xml:space="preserve">8.1 Initial Imaging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Non-contrast CT: </w:t>
      </w:r>
      <w:r>
        <w:t xml:space="preserve">First-line; complete within 25 min of arrival, interpreted by 45 min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Sensitivity: </w:t>
      </w:r>
      <w:r>
        <w:t xml:space="preserve">12-52% for acute ischemia (higher for large anterior circulation)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purpose: </w:t>
      </w:r>
      <w:r>
        <w:t xml:space="preserve">Exclude hemorrhage before thrombolysis</w:t>
      </w:r>
    </w:p>
    <w:p>
      <w:pPr>
        <w:pStyle w:val="Heading2"/>
      </w:pPr>
      <w:r>
        <w:t xml:space="preserve">8.2 Advanced Imaging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 Angiography: </w:t>
      </w:r>
      <w:r>
        <w:t xml:space="preserve">Identify LVO for thrombectomy candidates; sensitivity &gt;70% with NCCT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 Perfusion: </w:t>
      </w:r>
      <w:r>
        <w:t xml:space="preserve">Required for extended window (6-24h) patient selection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MRI DWI: </w:t>
      </w:r>
      <w:r>
        <w:t xml:space="preserve">Sensitivity &gt;80%, specificity &gt;95%; best for posterior circulation, small lesions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DWI-FLAIR mismatch: </w:t>
      </w:r>
      <w:r>
        <w:t xml:space="preserve">Surrogate for onset &lt;4.5 hours in wake-up strokes</w:t>
      </w:r>
    </w:p>
    <w:p>
      <w:pPr>
        <w:pStyle w:val="Heading1"/>
      </w:pPr>
      <w:r>
        <w:t xml:space="preserve">9. Secondary Prevention by Stroke Subtype</w:t>
      </w:r>
    </w:p>
    <w:p>
      <w:pPr>
        <w:pStyle w:val="Heading2"/>
      </w:pPr>
      <w:r>
        <w:t xml:space="preserve">9.1 Large Artery Atherosclerosis</w:t>
      </w:r>
    </w:p>
    <w:p>
      <w:pPr>
        <w:pStyle w:val="ListParagraph"/>
        <w:numPr>
          <w:ilvl w:val="0"/>
          <w:numId w:val="2"/>
        </w:numPr>
      </w:pPr>
      <w:r>
        <w:t xml:space="preserve">DAPT for 21-90 days if minor stroke/high-risk TIA</w:t>
      </w:r>
    </w:p>
    <w:p>
      <w:pPr>
        <w:pStyle w:val="ListParagraph"/>
        <w:numPr>
          <w:ilvl w:val="0"/>
          <w:numId w:val="2"/>
        </w:numPr>
      </w:pPr>
      <w:r>
        <w:t xml:space="preserve">Aggressive risk factor management (LDL &lt;70 mg/dL)</w:t>
      </w:r>
    </w:p>
    <w:p>
      <w:pPr>
        <w:pStyle w:val="ListParagraph"/>
        <w:numPr>
          <w:ilvl w:val="0"/>
          <w:numId w:val="2"/>
        </w:numPr>
      </w:pPr>
      <w:r>
        <w:t xml:space="preserve">Carotid endarterectomy/stenting for symptomatic 50-99% stenosis</w:t>
      </w:r>
    </w:p>
    <w:p>
      <w:pPr>
        <w:pStyle w:val="Heading2"/>
      </w:pPr>
      <w:r>
        <w:t xml:space="preserve">9.2 Cardioembolic (Atrial Fibrillation)</w:t>
      </w:r>
    </w:p>
    <w:p>
      <w:pPr>
        <w:pStyle w:val="ListParagraph"/>
        <w:numPr>
          <w:ilvl w:val="0"/>
          <w:numId w:val="2"/>
        </w:numPr>
      </w:pPr>
      <w:r>
        <w:t xml:space="preserve">Oral anticoagulation (DOACs preferred over warfarin)</w:t>
      </w:r>
    </w:p>
    <w:p>
      <w:pPr>
        <w:pStyle w:val="ListParagraph"/>
        <w:numPr>
          <w:ilvl w:val="0"/>
          <w:numId w:val="2"/>
        </w:numPr>
      </w:pPr>
      <w:r>
        <w:t xml:space="preserve">Do NOT combine anticoagulation + antiplatelet long-term</w:t>
      </w:r>
    </w:p>
    <w:p>
      <w:pPr>
        <w:pStyle w:val="ListParagraph"/>
        <w:numPr>
          <w:ilvl w:val="0"/>
          <w:numId w:val="2"/>
        </w:numPr>
      </w:pPr>
      <w:r>
        <w:t xml:space="preserve">Screen for AF: 30-day cardiac monitoring if cryptogenic stroke</w:t>
      </w:r>
    </w:p>
    <w:p>
      <w:pPr>
        <w:pStyle w:val="Heading2"/>
      </w:pPr>
      <w:r>
        <w:t xml:space="preserve">9.3 Small Vessel Disease (Lacunar)</w:t>
      </w:r>
    </w:p>
    <w:p>
      <w:pPr>
        <w:pStyle w:val="ListParagraph"/>
        <w:numPr>
          <w:ilvl w:val="0"/>
          <w:numId w:val="2"/>
        </w:numPr>
      </w:pPr>
      <w:r>
        <w:t xml:space="preserve">Single antiplatelet therapy</w:t>
      </w:r>
    </w:p>
    <w:p>
      <w:pPr>
        <w:pStyle w:val="ListParagraph"/>
        <w:numPr>
          <w:ilvl w:val="0"/>
          <w:numId w:val="2"/>
        </w:numPr>
      </w:pPr>
      <w:r>
        <w:t xml:space="preserve">Aggressive BP control (target SBP &lt;130 mmHg)</w:t>
      </w:r>
    </w:p>
    <w:p>
      <w:pPr>
        <w:pStyle w:val="Heading2"/>
      </w:pPr>
      <w:r>
        <w:t xml:space="preserve">9.4 Patent Foramen Ovale (Age 18-60)</w:t>
      </w:r>
    </w:p>
    <w:p>
      <w:pPr>
        <w:pStyle w:val="ListParagraph"/>
        <w:numPr>
          <w:ilvl w:val="0"/>
          <w:numId w:val="2"/>
        </w:numPr>
      </w:pPr>
      <w:r>
        <w:t xml:space="preserve">Consider percutaneous closure if: non-lacunar stroke, no other cause, high-risk PFO features</w:t>
      </w:r>
    </w:p>
    <w:p>
      <w:pPr>
        <w:pStyle w:val="ListParagraph"/>
        <w:numPr>
          <w:ilvl w:val="0"/>
          <w:numId w:val="2"/>
        </w:numPr>
      </w:pPr>
      <w:r>
        <w:t xml:space="preserve">Shared decision-making required</w:t>
      </w:r>
    </w:p>
    <w:p>
      <w:pPr>
        <w:pStyle w:val="Heading1"/>
      </w:pPr>
      <w:r>
        <w:t xml:space="preserve">10. Key Clinical Pearls for Case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is brain: </w:t>
      </w:r>
      <w:r>
        <w:t xml:space="preserve">1.9 million neurons lost per minute during acute ischemic stroke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Only required pre-tPA tests: </w:t>
      </w:r>
      <w:r>
        <w:t xml:space="preserve">Non-contrast CT and glucose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BP threshold for tPA: </w:t>
      </w:r>
      <w:r>
        <w:t xml:space="preserve">&lt;185/110 before, &lt;180/105 after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NIHSS ≥6 + ASPECTS ≥6: </w:t>
      </w:r>
      <w:r>
        <w:t xml:space="preserve">Thrombectomy criteria within 6 hours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Extended window (6-24h): </w:t>
      </w:r>
      <w:r>
        <w:t xml:space="preserve">Requires perfusion imaging (DAWN/DEFUSE-3 criteria)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Minor stroke DAPT: </w:t>
      </w:r>
      <w:r>
        <w:t xml:space="preserve">ASA + clopidogrel x 21-90 days, then single antiplatelet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Aspirin post-tPA: </w:t>
      </w:r>
      <w:r>
        <w:t xml:space="preserve">Delay 24 hours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Stroke mimics: </w:t>
      </w:r>
      <w:r>
        <w:t xml:space="preserve">Seizure, syncope, and conversion disorder most common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Posterior circulation: </w:t>
      </w:r>
      <w:r>
        <w:t xml:space="preserve">MRI preferred; CT may miss small lesions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 screening: </w:t>
      </w:r>
      <w:r>
        <w:t xml:space="preserve">30-day cardiac monitoring for cryptogenic stroke</w:t>
      </w:r>
    </w:p>
    <w:p>
      <w:pPr>
        <w:pStyle w:val="Heading1"/>
      </w:pPr>
      <w:r>
        <w:t xml:space="preserve">Sources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Powers WJ et al. Guidelines for the Early Management of Patients With Acute Ischemic Stroke: 2019 Update. Stroke. 2019;50:e344-e418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Kleindorfer DO et al. 2021 Guideline for the Prevention of Stroke in Patients With Stroke and Transient Ischemic Attack. Stroke. 2021;52:e364-e467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Long B, Koyfman A. Clinical Mimics: An Emergency Medicine-Focused Review of Stroke Mimics. J Emerg Med. 2017;52(2):176-183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Garg R, Rech MA, Schneck M. Stroke Mimics: An Important Source of Bias in Acute Ischemic Stroke Research. J Stroke Cerebrovasc Dis. 2019;28(9):2475-2480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Nogueira RG et al. Thrombectomy 6 to 24 Hours after Stroke with a Mismatch between Deficit and Infarct (DAWN). N Engl J Med. 2018;378:11-21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Albers GW et al. Thrombectomy for Stroke at 6 to 16 Hours with Selection by Perfusion Imaging (DEFUSE-3). N Engl J Med. 2018;378:708-718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ReasonDx Clinical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874a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2025-12-21T19:10:54.852Z</dcterms:created>
  <dcterms:modified xsi:type="dcterms:W3CDTF">2025-12-21T19:10:54.852Z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