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Community-Acquired Pneumonia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ATS/IDSA Clinical Practice Guidelines 2019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Clinical Reference for ReasonDx | Metlay JP, Waterer GW, et al. Am J Respir Crit Care Med 2019;200:e45-e67</w:t>
      </w:r>
    </w:p>
    <w:p>
      <w:pPr>
        <w:pStyle w:val="Heading1"/>
      </w:pPr>
      <w:r>
        <w:t xml:space="preserve">1. Scope &amp; Definitions</w:t>
      </w:r>
    </w:p>
    <w:p>
      <w:pPr>
        <w:pStyle w:val="Heading2"/>
      </w:pPr>
      <w:r>
        <w:t xml:space="preserve">1.1 What This Guideline Covers</w:t>
      </w:r>
    </w:p>
    <w:p>
      <w:pPr>
        <w:pStyle w:val="ListParagraph"/>
        <w:numPr>
          <w:ilvl w:val="0"/>
          <w:numId w:val="2"/>
        </w:numPr>
      </w:pPr>
      <w:r>
        <w:t xml:space="preserve">Adults with </w:t>
      </w:r>
      <w:r>
        <w:rPr>
          <w:b/>
          <w:bCs/>
        </w:rPr>
        <w:t xml:space="preserve">radiographically confirmed</w:t>
      </w:r>
      <w:r>
        <w:t xml:space="preserve"> pneumonia acquired outside hospital</w:t>
      </w:r>
    </w:p>
    <w:p>
      <w:pPr>
        <w:pStyle w:val="ListParagraph"/>
        <w:numPr>
          <w:ilvl w:val="0"/>
          <w:numId w:val="2"/>
        </w:numPr>
      </w:pPr>
      <w:r>
        <w:t xml:space="preserve">Immunocompetent patients (excludes HIV with low CD4, transplant recipients, chemotherapy-induced neutropenia)</w:t>
      </w:r>
    </w:p>
    <w:p>
      <w:pPr>
        <w:pStyle w:val="ListParagraph"/>
        <w:numPr>
          <w:ilvl w:val="0"/>
          <w:numId w:val="2"/>
        </w:numPr>
      </w:pPr>
      <w:r>
        <w:t xml:space="preserve">From diagnosis through completion of antimicrobial therapy</w:t>
      </w:r>
    </w:p>
    <w:p>
      <w:pPr>
        <w:pStyle w:val="Heading2"/>
      </w:pPr>
      <w:r>
        <w:t xml:space="preserve">1.2 Severe CAP Criteria (IDSA/ATS 2007)</w:t>
      </w:r>
    </w:p>
    <w:p>
      <w:pPr>
        <w:shd w:fill="E6F3FF" w:val="clear"/>
        <w:spacing w:before="100" w:after="100"/>
      </w:pPr>
      <w:r>
        <w:rPr>
          <w:b/>
          <w:bCs/>
        </w:rPr>
        <w:t xml:space="preserve">Severe CAP = 1 Major Criterion OR ≥3 Minor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Major Criteria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Minor Criteria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• Septic shock requiring vasopressors</w:t>
            </w:r>
          </w:p>
          <w:p>
            <w:r>
              <w:rPr>
                <w:b/>
                <w:bCs/>
              </w:rPr>
              <w:t xml:space="preserve">• Respiratory failure requiring mechanical ventilation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RR ≥30 breaths/min</w:t>
            </w:r>
          </w:p>
          <w:p>
            <w:r>
              <w:t xml:space="preserve">• PaO2/FiO2 ≤250</w:t>
            </w:r>
          </w:p>
          <w:p>
            <w:r>
              <w:t xml:space="preserve">• Multilobar infiltrates</w:t>
            </w:r>
          </w:p>
          <w:p>
            <w:r>
              <w:t xml:space="preserve">• Confusion/disorientation</w:t>
            </w:r>
          </w:p>
          <w:p>
            <w:r>
              <w:t xml:space="preserve">• BUN ≥20 mg/dL</w:t>
            </w:r>
          </w:p>
          <w:p>
            <w:r>
              <w:t xml:space="preserve">• WBC &lt;4,000/μL (infection alone)</w:t>
            </w:r>
          </w:p>
          <w:p>
            <w:r>
              <w:t xml:space="preserve">• Platelets &lt;100,000/μL</w:t>
            </w:r>
          </w:p>
          <w:p>
            <w:r>
              <w:t xml:space="preserve">• Core temp &lt;36°C</w:t>
            </w:r>
          </w:p>
          <w:p>
            <w:r>
              <w:t xml:space="preserve">• Hypotension requiring aggressive fluids</w:t>
            </w:r>
          </w:p>
        </w:tc>
      </w:tr>
    </w:tbl>
    <w:p>
      <w:pPr>
        <w:pStyle w:val="Heading1"/>
      </w:pPr>
      <w:r>
        <w:t xml:space="preserve">2. Diagnostic Testing Recommendations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When to Obtain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Sputum Gram Stain &amp; Culture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Severe CAP (especially intubated)</w:t>
            </w:r>
          </w:p>
          <w:p>
            <w:r>
              <w:t xml:space="preserve">• Empiric Rx for MRSA or P. aeruginosa</w:t>
            </w:r>
          </w:p>
          <w:p>
            <w:r>
              <w:t xml:space="preserve">• Prior MRSA/Pseudomonas infection</w:t>
            </w:r>
          </w:p>
          <w:p>
            <w:r>
              <w:t xml:space="preserve">• Hospitalized + IV abx in last 90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</w:rPr>
              <w:t xml:space="preserve">NOT routine</w:t>
            </w:r>
            <w:r>
              <w:t xml:space="preserve"> in outpatients</w:t>
            </w:r>
          </w:p>
          <w:p>
            <w:r>
              <w:rPr>
                <w:color w:val="C00000"/>
              </w:rPr>
              <w:t xml:space="preserve">NOT routine</w:t>
            </w:r>
            <w:r>
              <w:t xml:space="preserve"> in typical inpatients</w:t>
            </w:r>
          </w:p>
          <w:p>
            <w:r>
              <w:rPr>
                <w:b/>
                <w:bCs/>
                <w:color w:val="375623"/>
              </w:rPr>
              <w:t xml:space="preserve">YES</w:t>
            </w:r>
            <w:r>
              <w:t xml:space="preserve"> in above situations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Blood Cultures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• Severe CAP</w:t>
            </w:r>
          </w:p>
          <w:p>
            <w:r>
              <w:t xml:space="preserve">• Empiric Rx for MRSA or P. aeruginosa</w:t>
            </w:r>
          </w:p>
          <w:p>
            <w:r>
              <w:t xml:space="preserve">• Prior MRSA/Pseudomonas infection</w:t>
            </w:r>
          </w:p>
          <w:p>
            <w:r>
              <w:t xml:space="preserve">• Hospitalized + IV abx in last 90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color w:val="C00000"/>
              </w:rPr>
              <w:t xml:space="preserve">NOT routine</w:t>
            </w:r>
            <w:r>
              <w:t xml:space="preserve"> in outpatients</w:t>
            </w:r>
          </w:p>
          <w:p>
            <w:r>
              <w:rPr>
                <w:color w:val="C00000"/>
              </w:rPr>
              <w:t xml:space="preserve">NOT routine</w:t>
            </w:r>
            <w:r>
              <w:t xml:space="preserve"> in typical inpatients</w:t>
            </w:r>
          </w:p>
          <w:p>
            <w:r>
              <w:rPr>
                <w:b/>
                <w:bCs/>
                <w:color w:val="375623"/>
              </w:rPr>
              <w:t xml:space="preserve">YES</w:t>
            </w:r>
            <w:r>
              <w:t xml:space="preserve"> in above situations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Urinary Antigen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Pneumococcal:</w:t>
            </w:r>
            <w:r>
              <w:t xml:space="preserve"> Severe CAP</w:t>
            </w:r>
          </w:p>
          <w:p>
            <w:r>
              <w:rPr>
                <w:b/>
                <w:bCs/>
              </w:rPr>
              <w:t xml:space="preserve">Legionella:</w:t>
            </w:r>
            <w:r>
              <w:t xml:space="preserve"> Severe CAP, outbreaks, recent travel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</w:rPr>
              <w:t xml:space="preserve">NOT routine</w:t>
            </w:r>
          </w:p>
          <w:p>
            <w:r>
              <w:rPr>
                <w:b/>
                <w:bCs/>
                <w:color w:val="375623"/>
              </w:rPr>
              <w:t xml:space="preserve">YES</w:t>
            </w:r>
            <w:r>
              <w:t xml:space="preserve"> in severe CAP or epidemiologic factors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Influenza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When influenza is circulating in community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375623"/>
              </w:rPr>
              <w:t xml:space="preserve">YES - Strong recommendation</w:t>
            </w:r>
          </w:p>
          <w:p>
            <w:r>
              <w:rPr>
                <w:b/>
                <w:bCs/>
              </w:rPr>
              <w:t xml:space="preserve">Prefer NAAT</w:t>
            </w:r>
            <w:r>
              <w:t xml:space="preserve"> over rapid antigen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Procalcitonin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 decide on withholding antibiotics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DO NOT USE</w:t>
            </w:r>
            <w:r>
              <w:t xml:space="preserve"> to withhold initial antibiotics</w:t>
            </w:r>
          </w:p>
          <w:p>
            <w:r>
              <w:t xml:space="preserve">Treat empirically regardless of PCT level</w:t>
            </w:r>
          </w:p>
        </w:tc>
      </w:tr>
    </w:tbl>
    <w:p>
      <w:pPr>
        <w:pStyle w:val="Heading1"/>
      </w:pPr>
      <w:r>
        <w:t xml:space="preserve">3. Site of Care Decision</w:t>
      </w:r>
    </w:p>
    <w:p>
      <w:pPr>
        <w:pStyle w:val="Heading2"/>
      </w:pPr>
      <w:r>
        <w:t xml:space="preserve">3.1 Outpatient vs Inpatient</w:t>
      </w:r>
    </w:p>
    <w:p>
      <w:r>
        <w:rPr>
          <w:b/>
          <w:bCs/>
        </w:rPr>
        <w:t xml:space="preserve">Use PSI (preferred) or CURB-65 + clinical judgment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 Class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PSI Class I-II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risk (0.1-0.7% mortality)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Outpatient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PSI Class III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Low-intermediate (0.9-2.8%)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Outpatient or brief observation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PSI Class IV-V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Higher risk (8.2-29.2%)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Hospitalize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CURB-65 = 0-1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Low risk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Outpatient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CURB-65 =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Intermediate risk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Consider hospitalization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CURB-65 ≥3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High risk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Hospitalize (consider ICU)</w:t>
            </w:r>
          </w:p>
        </w:tc>
      </w:tr>
    </w:tbl>
    <w:p>
      <w:pPr>
        <w:spacing w:before="100"/>
      </w:pPr>
      <w:r>
        <w:rPr>
          <w:b/>
          <w:bCs/>
        </w:rPr>
        <w:t xml:space="preserve">CURB-65: </w:t>
      </w:r>
      <w:r>
        <w:t xml:space="preserve">Confusion, Urea &gt;7 mmol/L (BUN &gt;19), RR ≥30, BP &lt;90/60, Age ≥65 (1 point each)</w:t>
      </w:r>
    </w:p>
    <w:p>
      <w:pPr>
        <w:pStyle w:val="Heading2"/>
      </w:pPr>
      <w:r>
        <w:t xml:space="preserve">3.2 ICU Admission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ICU admission: </w:t>
      </w:r>
      <w:r>
        <w:t xml:space="preserve">Vasopressor requirement OR mechanical ventilation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Consider ICU: </w:t>
      </w:r>
      <w:r>
        <w:t xml:space="preserve">≥3 minor criteria (see Table 1)</w:t>
      </w:r>
    </w:p>
    <w:p>
      <w:pPr>
        <w:shd w:fill="FFCCCB" w:val="clear"/>
        <w:spacing w:before="100"/>
      </w:pPr>
      <w:r>
        <w:rPr>
          <w:b/>
          <w:bCs/>
        </w:rPr>
        <w:t xml:space="preserve">KEY POINT: </w:t>
      </w:r>
      <w:r>
        <w:t xml:space="preserve">Late ICU transfer (from ward) associated with higher mortality than direct ICU admission</w:t>
      </w:r>
    </w:p>
    <w:p>
      <w:r>
        <w:br w:type="page"/>
      </w:r>
    </w:p>
    <w:p>
      <w:pPr>
        <w:pStyle w:val="Heading1"/>
      </w:pPr>
      <w:r>
        <w:t xml:space="preserve">4. Empiric Antibiotic Therapy</w:t>
      </w:r>
    </w:p>
    <w:p>
      <w:pPr>
        <w:pStyle w:val="Heading2"/>
      </w:pPr>
      <w:r>
        <w:t xml:space="preserve">4.1 OUTPATIENT Treatment</w:t>
      </w:r>
    </w:p>
    <w:p>
      <w:pPr>
        <w:pStyle w:val="Heading3"/>
      </w:pPr>
      <w:r>
        <w:t xml:space="preserve">Healthy Adults (No Comorbidities)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Drug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Amoxicillin</w:t>
            </w:r>
            <w:r>
              <w:t xml:space="preserve"> (Strong)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1 g TID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Doxycycline</w:t>
            </w:r>
            <w:r>
              <w:t xml:space="preserve"> (Conditional)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100 mg BID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Macrolide</w:t>
            </w:r>
            <w:r>
              <w:t xml:space="preserve"> (Conditional)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Azithromycin 500 mg day 1, then 250 mg daily</w:t>
            </w:r>
          </w:p>
          <w:p>
            <w:r>
              <w:t xml:space="preserve">Clarithromycin 500 mg BID</w:t>
            </w:r>
          </w:p>
          <w:p>
            <w:r>
              <w:rPr>
                <w:i/>
                <w:iCs/>
                <w:color w:val="C00000"/>
              </w:rPr>
              <w:t xml:space="preserve">ONLY if local macrolide resistance &lt;25%</w:t>
            </w:r>
          </w:p>
        </w:tc>
      </w:tr>
    </w:tbl>
    <w:p>
      <w:pPr>
        <w:pStyle w:val="Heading3"/>
      </w:pPr>
      <w:r>
        <w:t xml:space="preserve">Adults with Comorbidities</w:t>
      </w:r>
    </w:p>
    <w:p>
      <w:r>
        <w:rPr>
          <w:i/>
          <w:iCs/>
        </w:rPr>
        <w:t xml:space="preserve">Comorbidities: </w:t>
      </w:r>
      <w:r>
        <w:t xml:space="preserve">Chronic heart, lung, liver, or renal disease; diabetes; alcoholism; malignancy; asplenia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Regimen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β-Lactam + Macrolide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β-Lactam options:</w:t>
            </w:r>
          </w:p>
          <w:p>
            <w:r>
              <w:t xml:space="preserve">• Amox/clav 875/125 mg BID or 2000/125 mg BID</w:t>
            </w:r>
          </w:p>
          <w:p>
            <w:r>
              <w:t xml:space="preserve">• Cefpodoxime 200 mg BID</w:t>
            </w:r>
          </w:p>
          <w:p>
            <w:r>
              <w:t xml:space="preserve">• Cefuroxime 500 mg BID</w:t>
            </w:r>
          </w:p>
          <w:p>
            <w:r>
              <w:rPr>
                <w:b/>
                <w:bCs/>
              </w:rPr>
              <w:t xml:space="preserve">PLUS Macrolide or Doxycycline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Respiratory FQ Monotherapy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t xml:space="preserve">Levofloxacin 750 mg daily</w:t>
            </w:r>
          </w:p>
          <w:p>
            <w:r>
              <w:t xml:space="preserve">Moxifloxacin 400 mg daily</w:t>
            </w:r>
          </w:p>
          <w:p>
            <w:r>
              <w:t xml:space="preserve">Gemifloxacin 320 mg daily</w:t>
            </w:r>
          </w:p>
        </w:tc>
      </w:tr>
    </w:tbl>
    <w:p>
      <w:pPr>
        <w:pStyle w:val="Heading2"/>
      </w:pPr>
      <w:r>
        <w:t xml:space="preserve">4.2 INPATIENT Treatment (Non-severe CAP)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Regimen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Options (Strong Recommendation)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β-Lactam + Macrolide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β-Lactam:</w:t>
            </w:r>
            <w:r>
              <w:t xml:space="preserve"> Ampicillin/sulbactam 1.5-3 g q6h, Ceftriaxone 1-2 g daily, Cefotaxime 1-2 g q8h, Ceftaroline 600 mg q12h</w:t>
            </w:r>
          </w:p>
          <w:p>
            <w:r>
              <w:rPr>
                <w:b/>
                <w:bCs/>
              </w:rPr>
              <w:t xml:space="preserve">PLUS Macrolide:</w:t>
            </w:r>
            <w:r>
              <w:t xml:space="preserve"> Azithromycin 500 mg daily or Clarithromycin 500 mg BID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Respiratory FQ Monotherapy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t xml:space="preserve">Levofloxacin 750 mg daily OR Moxifloxacin 400 mg daily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β-Lactam + Doxycycline</w:t>
            </w:r>
            <w:r>
              <w:t xml:space="preserve"> (Alternative)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β-Lactam (as above) + Doxycycline 100 mg BID (if macrolide/FQ contraindicated)</w:t>
            </w:r>
          </w:p>
        </w:tc>
      </w:tr>
    </w:tbl>
    <w:p>
      <w:pPr>
        <w:pStyle w:val="Heading2"/>
      </w:pPr>
      <w:r>
        <w:t xml:space="preserve">4.3 SEVERE CAP Treatment</w:t>
      </w:r>
    </w:p>
    <w:p>
      <w:pPr>
        <w:shd w:fill="E6F3FF" w:val="clear"/>
        <w:spacing w:before="100" w:after="100"/>
      </w:pPr>
      <w:r>
        <w:rPr>
          <w:b/>
          <w:bCs/>
        </w:rPr>
        <w:t xml:space="preserve">REQUIRED: Combination therapy (NOT monotherapy)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Preferred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Alternative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β-Lactam + Macrolide</w:t>
            </w:r>
          </w:p>
          <w:p>
            <w:r>
              <w:t xml:space="preserve">(Stronger evidence for mortality benefit)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β-Lactam + Respiratory FQ</w:t>
            </w:r>
          </w:p>
        </w:tc>
      </w:tr>
    </w:tbl>
    <w:p>
      <w:pPr>
        <w:spacing w:before="100"/>
      </w:pPr>
      <w:r>
        <w:rPr>
          <w:i/>
          <w:iCs/>
        </w:rPr>
        <w:t xml:space="preserve">Note: </w:t>
      </w:r>
      <w:r>
        <w:t xml:space="preserve">FQ monotherapy and β-lactam + doxycycline are </w:t>
      </w:r>
      <w:r>
        <w:rPr>
          <w:b/>
          <w:bCs/>
          <w:color w:val="C00000"/>
        </w:rPr>
        <w:t xml:space="preserve">NOT recommended</w:t>
      </w:r>
      <w:r>
        <w:t xml:space="preserve"> for severe CAP</w:t>
      </w:r>
    </w:p>
    <w:p>
      <w:r>
        <w:br w:type="page"/>
      </w:r>
    </w:p>
    <w:p>
      <w:pPr>
        <w:pStyle w:val="Heading1"/>
      </w:pPr>
      <w:r>
        <w:t xml:space="preserve">5. MRSA &amp; Pseudomonas Coverage</w:t>
      </w:r>
    </w:p>
    <w:p>
      <w:pPr>
        <w:shd w:fill="FFCCCB" w:val="clear"/>
        <w:spacing w:before="100" w:after="100"/>
      </w:pPr>
      <w:r>
        <w:rPr>
          <w:b/>
          <w:bCs/>
        </w:rPr>
        <w:t xml:space="preserve">KEY CHANGE: </w:t>
      </w:r>
      <w:r>
        <w:t xml:space="preserve">HCAP category is ABANDONED. Do not use HCAP criteria to guide extended-spectrum coverage.</w:t>
      </w:r>
    </w:p>
    <w:p>
      <w:pPr>
        <w:pStyle w:val="Heading2"/>
      </w:pPr>
      <w:r>
        <w:t xml:space="preserve">5.1 Risk Factors for MRSA/Pseudomonas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 respiratory isolation </w:t>
      </w:r>
      <w:r>
        <w:t xml:space="preserve">of MRSA or P. aeruginosa (strongest risk factor)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Hospitalized </w:t>
      </w:r>
      <w:r>
        <w:t xml:space="preserve">+ received </w:t>
      </w:r>
      <w:r>
        <w:rPr>
          <w:b/>
          <w:bCs/>
        </w:rPr>
        <w:t xml:space="preserve">parenteral antibiotics </w:t>
      </w:r>
      <w:r>
        <w:t xml:space="preserve">in last 90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Locally validated </w:t>
      </w:r>
      <w:r>
        <w:t xml:space="preserve">risk factors (varies by institution)</w:t>
      </w:r>
    </w:p>
    <w:p>
      <w:pPr>
        <w:pStyle w:val="Heading2"/>
      </w:pPr>
      <w:r>
        <w:t xml:space="preserve">5.2 When to Cover MRSA/Pseudomonas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Non-severe CAP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Severe 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Prior MRSA/Pseudo 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ADD coverage + cultures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ADD coverage + cultures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Recent hospitalization + IV abx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Cultures first; add if positive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ADD coverage + cultures</w:t>
            </w:r>
          </w:p>
        </w:tc>
      </w:tr>
    </w:tbl>
    <w:p>
      <w:pPr>
        <w:pStyle w:val="Heading2"/>
      </w:pPr>
      <w:r>
        <w:t xml:space="preserve">5.3 MRSA Coverage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Vancomycin: </w:t>
      </w:r>
      <w:r>
        <w:t xml:space="preserve">15 mg/kg IV q12h (adjust based on levels)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Linezolid: </w:t>
      </w:r>
      <w:r>
        <w:t xml:space="preserve">600 mg IV/PO q12h</w:t>
      </w:r>
    </w:p>
    <w:p>
      <w:pPr>
        <w:spacing w:before="100"/>
      </w:pPr>
      <w:r>
        <w:rPr>
          <w:b/>
          <w:bCs/>
        </w:rPr>
        <w:t xml:space="preserve">MRSA Nasal PCR: </w:t>
      </w:r>
      <w:r>
        <w:t xml:space="preserve">Negative PCR has high NPV - can withhold MRSA coverage if negative</w:t>
      </w:r>
    </w:p>
    <w:p>
      <w:pPr>
        <w:pStyle w:val="Heading2"/>
      </w:pPr>
      <w:r>
        <w:t xml:space="preserve">5.4 Pseudomonas Coverage Options</w:t>
      </w:r>
    </w:p>
    <w:p>
      <w:pPr>
        <w:pStyle w:val="ListParagraph"/>
        <w:numPr>
          <w:ilvl w:val="0"/>
          <w:numId w:val="2"/>
        </w:numPr>
      </w:pPr>
      <w:r>
        <w:t xml:space="preserve">Piperacillin-tazobactam 4.5 g IV q6h</w:t>
      </w:r>
    </w:p>
    <w:p>
      <w:pPr>
        <w:pStyle w:val="ListParagraph"/>
        <w:numPr>
          <w:ilvl w:val="0"/>
          <w:numId w:val="2"/>
        </w:numPr>
      </w:pPr>
      <w:r>
        <w:t xml:space="preserve">Cefepime 2 g IV q8h</w:t>
      </w:r>
    </w:p>
    <w:p>
      <w:pPr>
        <w:pStyle w:val="ListParagraph"/>
        <w:numPr>
          <w:ilvl w:val="0"/>
          <w:numId w:val="2"/>
        </w:numPr>
      </w:pPr>
      <w:r>
        <w:t xml:space="preserve">Ceftazidime 2 g IV q8h</w:t>
      </w:r>
    </w:p>
    <w:p>
      <w:pPr>
        <w:pStyle w:val="ListParagraph"/>
        <w:numPr>
          <w:ilvl w:val="0"/>
          <w:numId w:val="2"/>
        </w:numPr>
      </w:pPr>
      <w:r>
        <w:t xml:space="preserve">Meropenem 1 g IV q8h</w:t>
      </w:r>
    </w:p>
    <w:p>
      <w:pPr>
        <w:pStyle w:val="ListParagraph"/>
        <w:numPr>
          <w:ilvl w:val="0"/>
          <w:numId w:val="2"/>
        </w:numPr>
      </w:pPr>
      <w:r>
        <w:t xml:space="preserve">Imipenem 500 mg IV q6h</w:t>
      </w:r>
    </w:p>
    <w:p>
      <w:pPr>
        <w:pStyle w:val="ListParagraph"/>
        <w:numPr>
          <w:ilvl w:val="0"/>
          <w:numId w:val="2"/>
        </w:numPr>
      </w:pPr>
      <w:r>
        <w:t xml:space="preserve">Aztreonam 2 g IV q8h</w:t>
      </w:r>
    </w:p>
    <w:p>
      <w:pPr>
        <w:shd w:fill="E6F3FF" w:val="clear"/>
        <w:spacing w:before="100"/>
      </w:pPr>
      <w:r>
        <w:rPr>
          <w:b/>
          <w:bCs/>
        </w:rPr>
        <w:t xml:space="preserve">DE-ESCALATION: </w:t>
      </w:r>
      <w:r>
        <w:t xml:space="preserve">If cultures negative at 48h and patient improving → de-escalate to standard CAP therapy</w:t>
      </w:r>
    </w:p>
    <w:p>
      <w:pPr>
        <w:pStyle w:val="Heading1"/>
      </w:pPr>
      <w:r>
        <w:t xml:space="preserve">6. Special Situations</w:t>
      </w:r>
    </w:p>
    <w:p>
      <w:pPr>
        <w:pStyle w:val="Heading2"/>
      </w:pPr>
      <w:r>
        <w:t xml:space="preserve">6.1 Aspiration Pneumonia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NOT routinely add anaerobic coverage</w:t>
      </w:r>
      <w:r>
        <w:t xml:space="preserve"> beyond standard CAP therapy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anaerobic coverage only if: </w:t>
      </w:r>
      <w:r>
        <w:t xml:space="preserve">Lung abscess or empyema suspected</w:t>
      </w:r>
    </w:p>
    <w:p>
      <w:pPr>
        <w:spacing w:before="100"/>
      </w:pPr>
      <w:r>
        <w:rPr>
          <w:i/>
          <w:iCs/>
        </w:rPr>
        <w:t xml:space="preserve">Rationale: </w:t>
      </w:r>
      <w:r>
        <w:t xml:space="preserve">Recent studies show anaerobes are uncommon in acute aspiration; adding clindamycin increases C. difficile risk</w:t>
      </w:r>
    </w:p>
    <w:p>
      <w:pPr>
        <w:pStyle w:val="Heading2"/>
      </w:pPr>
      <w:r>
        <w:t xml:space="preserve">6.2 Influenza with CAP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Antiviral therapy (oseltamivir): </w:t>
      </w:r>
      <w:r>
        <w:t xml:space="preserve">Recommend for all CAP patients with positive influenza test, regardless of duration of illness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Antibacterial therapy: </w:t>
      </w:r>
      <w:r>
        <w:t xml:space="preserve">ALWAYS give standard CAP antibiotics initially (bacterial coinfection common)</w:t>
      </w:r>
    </w:p>
    <w:p>
      <w:pPr>
        <w:pStyle w:val="ListParagraph"/>
        <w:numPr>
          <w:ilvl w:val="0"/>
          <w:numId w:val="2"/>
        </w:numPr>
      </w:pPr>
      <w:r>
        <w:t xml:space="preserve">Consider early discontinuation (48-72h) if: Positive influenza, low PCT, no bacterial pathogen identified, early clinical stability</w:t>
      </w:r>
    </w:p>
    <w:p>
      <w:pPr>
        <w:pStyle w:val="Heading2"/>
      </w:pPr>
      <w:r>
        <w:t xml:space="preserve">6.3 Corticosteroids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Non-severe CAP: </w:t>
      </w:r>
      <w:r>
        <w:rPr>
          <w:color w:val="C00000"/>
        </w:rPr>
        <w:t xml:space="preserve">Do NOT use routinely</w:t>
      </w:r>
      <w:r>
        <w:t xml:space="preserve"> (Strong recommendation)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Severe CAP: </w:t>
      </w:r>
      <w:r>
        <w:rPr>
          <w:color w:val="C00000"/>
        </w:rPr>
        <w:t xml:space="preserve">Do NOT use routinely</w:t>
      </w:r>
      <w:r>
        <w:t xml:space="preserve"> (Conditional recommendation)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Influenza pneumonia: </w:t>
      </w:r>
      <w:r>
        <w:rPr>
          <w:color w:val="C00000"/>
        </w:rPr>
        <w:t xml:space="preserve">Do NOT use</w:t>
      </w:r>
      <w:r>
        <w:t xml:space="preserve"> (may increase mortality)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Refractory septic shock: </w:t>
      </w:r>
      <w:r>
        <w:t xml:space="preserve">May consider per Surviving Sepsis guidelines</w:t>
      </w:r>
    </w:p>
    <w:p>
      <w:r>
        <w:br w:type="page"/>
      </w:r>
    </w:p>
    <w:p>
      <w:pPr>
        <w:pStyle w:val="Heading1"/>
      </w:pPr>
      <w:r>
        <w:t xml:space="preserve">7. Duration of Therapy &amp; Follow-up</w:t>
      </w:r>
    </w:p>
    <w:p>
      <w:pPr>
        <w:pStyle w:val="Heading2"/>
      </w:pPr>
      <w:r>
        <w:t xml:space="preserve">7.1 Duration of Antibiotic Therapy</w:t>
      </w:r>
    </w:p>
    <w:p>
      <w:pPr>
        <w:shd w:fill="E6F3FF" w:val="clear"/>
        <w:spacing w:before="100" w:after="100"/>
      </w:pPr>
      <w:r>
        <w:rPr>
          <w:b/>
          <w:bCs/>
        </w:rPr>
        <w:t xml:space="preserve">Standard: Minimum 5 days</w:t>
      </w:r>
      <w:r>
        <w:t xml:space="preserve">, guided by clinical stability</w:t>
      </w:r>
    </w:p>
    <w:p>
      <w:pPr>
        <w:pStyle w:val="Heading3"/>
      </w:pPr>
      <w:r>
        <w:t xml:space="preserve">Clinical Stability Criteria</w:t>
      </w:r>
    </w:p>
    <w:p>
      <w:pPr>
        <w:pStyle w:val="ListParagraph"/>
        <w:numPr>
          <w:ilvl w:val="0"/>
          <w:numId w:val="2"/>
        </w:numPr>
      </w:pPr>
      <w:r>
        <w:t xml:space="preserve">Temperature ≤37.8°C (100°F)</w:t>
      </w:r>
    </w:p>
    <w:p>
      <w:pPr>
        <w:pStyle w:val="ListParagraph"/>
        <w:numPr>
          <w:ilvl w:val="0"/>
          <w:numId w:val="2"/>
        </w:numPr>
      </w:pPr>
      <w:r>
        <w:t xml:space="preserve">Heart rate ≤100 bpm</w:t>
      </w:r>
    </w:p>
    <w:p>
      <w:pPr>
        <w:pStyle w:val="ListParagraph"/>
        <w:numPr>
          <w:ilvl w:val="0"/>
          <w:numId w:val="2"/>
        </w:numPr>
      </w:pPr>
      <w:r>
        <w:t xml:space="preserve">Respiratory rate ≤24 breaths/min</w:t>
      </w:r>
    </w:p>
    <w:p>
      <w:pPr>
        <w:pStyle w:val="ListParagraph"/>
        <w:numPr>
          <w:ilvl w:val="0"/>
          <w:numId w:val="2"/>
        </w:numPr>
      </w:pPr>
      <w:r>
        <w:t xml:space="preserve">Systolic BP ≥90 mmHg</w:t>
      </w:r>
    </w:p>
    <w:p>
      <w:pPr>
        <w:pStyle w:val="ListParagraph"/>
        <w:numPr>
          <w:ilvl w:val="0"/>
          <w:numId w:val="2"/>
        </w:numPr>
      </w:pPr>
      <w:r>
        <w:t xml:space="preserve">O2 saturation ≥90% on room air (or baseline)</w:t>
      </w:r>
    </w:p>
    <w:p>
      <w:pPr>
        <w:pStyle w:val="ListParagraph"/>
        <w:numPr>
          <w:ilvl w:val="0"/>
          <w:numId w:val="2"/>
        </w:numPr>
      </w:pPr>
      <w:r>
        <w:t xml:space="preserve">Ability to eat/maintain oral intake</w:t>
      </w:r>
    </w:p>
    <w:p>
      <w:pPr>
        <w:pStyle w:val="ListParagraph"/>
        <w:numPr>
          <w:ilvl w:val="0"/>
          <w:numId w:val="2"/>
        </w:numPr>
      </w:pPr>
      <w:r>
        <w:t xml:space="preserve">Normal mentation</w:t>
      </w:r>
    </w:p>
    <w:p>
      <w:pPr>
        <w:spacing w:before="100"/>
      </w:pPr>
      <w:r>
        <w:rPr>
          <w:b/>
          <w:bCs/>
        </w:rPr>
        <w:t xml:space="preserve">Continue antibiotics until stable for 48-72h AND minimum 5 days total</w:t>
      </w:r>
    </w:p>
    <w:p>
      <w:pPr>
        <w:spacing w:before="100"/>
      </w:pPr>
      <w:r>
        <w:rPr>
          <w:b/>
          <w:bCs/>
        </w:rPr>
        <w:t xml:space="preserve">Exceptions requiring longer therapy:</w:t>
      </w:r>
    </w:p>
    <w:p>
      <w:pPr>
        <w:pStyle w:val="ListParagraph"/>
        <w:numPr>
          <w:ilvl w:val="0"/>
          <w:numId w:val="2"/>
        </w:numPr>
      </w:pPr>
      <w:r>
        <w:t xml:space="preserve">MRSA or P. aeruginosa: 7 days</w:t>
      </w:r>
    </w:p>
    <w:p>
      <w:pPr>
        <w:pStyle w:val="ListParagraph"/>
        <w:numPr>
          <w:ilvl w:val="0"/>
          <w:numId w:val="2"/>
        </w:numPr>
      </w:pPr>
      <w:r>
        <w:t xml:space="preserve">Complicated infection (abscess, empyema, meningitis, endocarditis): Extended duration</w:t>
      </w:r>
    </w:p>
    <w:p>
      <w:pPr>
        <w:pStyle w:val="ListParagraph"/>
        <w:numPr>
          <w:ilvl w:val="0"/>
          <w:numId w:val="2"/>
        </w:numPr>
      </w:pPr>
      <w:r>
        <w:t xml:space="preserve">Failure to reach stability by day 5: Evaluate for complications</w:t>
      </w:r>
    </w:p>
    <w:p>
      <w:pPr>
        <w:pStyle w:val="Heading2"/>
      </w:pPr>
      <w:r>
        <w:t xml:space="preserve">7.2 Follow-up Chest Imaging</w:t>
      </w:r>
    </w:p>
    <w:p>
      <w:pPr>
        <w:shd w:fill="FFF2CC" w:val="clear"/>
        <w:spacing w:before="100"/>
      </w:pPr>
      <w:r>
        <w:rPr>
          <w:b/>
          <w:bCs/>
        </w:rPr>
        <w:t xml:space="preserve">Do NOT routinely obtain follow-up chest imaging </w:t>
      </w:r>
      <w:r>
        <w:t xml:space="preserve">in patients whose symptoms have resolved within 5-7 days</w:t>
      </w:r>
    </w:p>
    <w:p>
      <w:pPr>
        <w:spacing w:before="100"/>
      </w:pPr>
      <w:r>
        <w:rPr>
          <w:b/>
          <w:bCs/>
        </w:rPr>
        <w:t xml:space="preserve">Consider follow-up imaging if:</w:t>
      </w:r>
    </w:p>
    <w:p>
      <w:pPr>
        <w:pStyle w:val="ListParagraph"/>
        <w:numPr>
          <w:ilvl w:val="0"/>
          <w:numId w:val="2"/>
        </w:numPr>
      </w:pPr>
      <w:r>
        <w:t xml:space="preserve">Smokers/ex-smokers who meet lung cancer screening criteria</w:t>
      </w:r>
    </w:p>
    <w:p>
      <w:pPr>
        <w:pStyle w:val="ListParagraph"/>
        <w:numPr>
          <w:ilvl w:val="0"/>
          <w:numId w:val="2"/>
        </w:numPr>
      </w:pPr>
      <w:r>
        <w:t xml:space="preserve">Persistent symptoms</w:t>
      </w:r>
    </w:p>
    <w:p>
      <w:pPr>
        <w:pStyle w:val="ListParagraph"/>
        <w:numPr>
          <w:ilvl w:val="0"/>
          <w:numId w:val="2"/>
        </w:numPr>
      </w:pPr>
      <w:r>
        <w:t xml:space="preserve">Concern for underlying malignancy or other pathology</w:t>
      </w:r>
    </w:p>
    <w:p>
      <w:pPr>
        <w:pStyle w:val="Heading1"/>
      </w:pPr>
      <w:r>
        <w:t xml:space="preserve">8. Key Clinical Pearls for Case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Severe CAP = 1 major OR ≥3 minor criteria: </w:t>
      </w:r>
      <w:r>
        <w:t xml:space="preserve">Know these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PSI preferred over CURB-65: </w:t>
      </w:r>
      <w:r>
        <w:t xml:space="preserve">Better evidence for site-of-care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HCAP is dead: </w:t>
      </w:r>
      <w:r>
        <w:t xml:space="preserve">Use specific risk factors for MRSA/Pseudomonas, not HCAP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Macrolide resistance matters: </w:t>
      </w:r>
      <w:r>
        <w:t xml:space="preserve">No longer first-line unless local resistance &lt;25%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Procalcitonin: </w:t>
      </w:r>
      <w:r>
        <w:t xml:space="preserve">Do NOT use to withhold initial antibiotics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Severe CAP needs combination therapy: </w:t>
      </w:r>
      <w:r>
        <w:t xml:space="preserve">β-lactam + macrolide preferred (not FQ monotherapy)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 MRSA/Pseudo is the strongest risk factor: </w:t>
      </w:r>
      <w:r>
        <w:t xml:space="preserve">More predictive than any HCAP criterion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De-escalate at 48h: </w:t>
      </w:r>
      <w:r>
        <w:t xml:space="preserve">If cultures negative and improving, narrow spectrum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Aspiration pneumonia: </w:t>
      </w:r>
      <w:r>
        <w:t xml:space="preserve">Standard CAP therapy (no routine anaerobic coverage)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Influenza + CAP: </w:t>
      </w:r>
      <w:r>
        <w:t xml:space="preserve">Give BOTH antiviral AND antibacterial therapy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Steroids: </w:t>
      </w:r>
      <w:r>
        <w:t xml:space="preserve">NOT routine (may harm in influenza pneumonia)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 = 5 days minimum + clinical stability: </w:t>
      </w:r>
      <w:r>
        <w:t xml:space="preserve">Not arbitrary 7-10 day courses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routine follow-up CXR: </w:t>
      </w:r>
      <w:r>
        <w:t xml:space="preserve">If symptoms resolve, imaging not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MRSA nasal PCR: </w:t>
      </w:r>
      <w:r>
        <w:t xml:space="preserve">High negative predictive value - can withhold MRSA coverage if negative</w:t>
      </w:r>
    </w:p>
    <w:p>
      <w:pPr>
        <w:pStyle w:val="Heading1"/>
      </w:pPr>
      <w:r>
        <w:t xml:space="preserve">Source</w:t>
      </w:r>
    </w:p>
    <w:p>
      <w:pPr>
        <w:spacing w:after="60"/>
      </w:pPr>
      <w:r>
        <w:t xml:space="preserve">Metlay JP, Waterer GW, Long AC, et al. Diagnosis and Treatment of Adults with Community-acquired Pneumonia. An Official Clinical Practice Guideline of the American Thoracic Society and Infectious Diseases Society of America. </w:t>
      </w:r>
      <w:r>
        <w:rPr>
          <w:i/>
          <w:iCs/>
        </w:rPr>
        <w:t xml:space="preserve">Am J Respir Crit Care Med</w:t>
      </w:r>
      <w:r>
        <w:t xml:space="preserve">. 2019;200(7):e45-e67. doi:10.1164/rccm.201908-1581ST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ReasonDx Clinical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A8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2025-12-21T18:09:19.612Z</dcterms:created>
  <dcterms:modified xsi:type="dcterms:W3CDTF">2025-12-21T18:09:19.613Z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