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Comprehensive Pulmonary Embolism Guidelines</w:t>
      </w:r>
    </w:p>
    <w:p>
      <w:pPr>
        <w:spacing w:after="200"/>
        <w:jc w:val="center"/>
      </w:pPr>
      <w:r>
        <w:rPr>
          <w:color w:val="666666"/>
          <w:sz w:val="22"/>
          <w:szCs w:val="22"/>
        </w:rPr>
        <w:t xml:space="preserve">Integrated Reference: ESC 2019, ACCP CHEST 2021, and Evidence Synthesis</w:t>
      </w:r>
    </w:p>
    <w:p>
      <w:pPr>
        <w:spacing w:after="400"/>
        <w:jc w:val="center"/>
      </w:pPr>
      <w:r>
        <w:rPr>
          <w:color w:val="888888"/>
          <w:sz w:val="20"/>
          <w:szCs w:val="20"/>
        </w:rPr>
        <w:t xml:space="preserve">ReasonDx Clinical Reasoning Platform</w:t>
      </w:r>
    </w:p>
    <w:p>
      <w:pPr>
        <w:pStyle w:val="Heading1"/>
      </w:pPr>
      <w:r>
        <w:t xml:space="preserve">Source Documentation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ESC/ERS 2019: </w:t>
      </w:r>
      <w:r>
        <w:t xml:space="preserve">Konstantinides SV, et al. 2019 ESC Guidelines for the diagnosis and management of acute pulmonary embolism. Eur Heart J 2020;41(4):543-603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ACCP CHEST 2021: </w:t>
      </w:r>
      <w:r>
        <w:t xml:space="preserve">Stevens SM, et al. Antithrombotic Therapy for VTE Disease: Second Update of the CHEST Guideline. CHEST 2021;160(6):e545-e608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van Es 2017: </w:t>
      </w:r>
      <w:r>
        <w:t xml:space="preserve">van Es N, et al. The original and simplified Wells rules and age-adjusted D-dimer testing. J Thromb Haemost 2017;15(4):678-684</w:t>
      </w:r>
    </w:p>
    <w:p>
      <w:pPr>
        <w:pStyle w:val="Heading1"/>
      </w:pPr>
      <w:r>
        <w:t xml:space="preserve">1. Definition of High-Risk (Massive) PE</w:t>
      </w:r>
    </w:p>
    <w:p>
      <w:pPr>
        <w:spacing w:after="120"/>
      </w:pPr>
      <w:r>
        <w:rPr>
          <w:b/>
          <w:bCs/>
        </w:rPr>
        <w:t xml:space="preserve">High-risk PE is defined by hemodynamic instability, requiring ANY ONE of the following (ESC 2019):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Cardiac Arrest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Need for CPR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Obstructive Shock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SBP &lt;90 mmHg OR vasopressors required to achieve BP ≥90 mmHg despite adequate filling status, AND end-organ hypoperfusion (altered mental status, cold/clammy skin, oliguria/anuria, elevated lactate)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Persistent Hypotension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SBP &lt;90 mmHg OR SBP drop ≥40 mmHg for &gt;15 minutes, not caused by new-onset arrhythmia, hypovolemia, or sepsis</w:t>
            </w:r>
          </w:p>
        </w:tc>
      </w:tr>
    </w:tbl>
    <w:p>
      <w:pPr>
        <w:pStyle w:val="Heading1"/>
      </w:pPr>
      <w:r>
        <w:t xml:space="preserve">2. Clinical Probability Assessment</w:t>
      </w:r>
    </w:p>
    <w:p>
      <w:pPr>
        <w:spacing w:after="120"/>
      </w:pPr>
      <w:r>
        <w:t xml:space="preserve">ALWAYS assess clinical probability BEFORE ordering D-dimer or imaging. Two validated scoring systems are available.</w:t>
      </w:r>
    </w:p>
    <w:p>
      <w:pPr>
        <w:pStyle w:val="Heading2"/>
      </w:pPr>
      <w:r>
        <w:t xml:space="preserve">Wells Score for PE</w:t>
      </w:r>
    </w:p>
    <w:p>
      <w:pPr>
        <w:spacing w:after="80"/>
      </w:pPr>
      <w:r>
        <w:rPr>
          <w:i/>
          <w:iCs/>
        </w:rPr>
        <w:t xml:space="preserve">Key Finding (van Es 2017 meta-analysis, n=7,268): </w:t>
      </w:r>
      <w:r>
        <w:t xml:space="preserve">Simplified Wells rule performs comparably to original (c-statistic 0.72 vs 0.73). Given ease of use, simplified Wells is preferred.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80"/>
        <w:gridCol w:w="2590"/>
        <w:gridCol w:w="2590"/>
      </w:tblGrid>
      <w:tr>
        <w:trPr>
          <w:tblHeader/>
        </w:trP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Clinical Variable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Original Points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Simplified Points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Clinical signs/symptoms of DVT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+3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PE most likely diagnosis (alternative less likely)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+3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Heart rate &gt;100 bpm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+1.5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Immobilization/surgery within 4 weeks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+1.5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Previous PE or DVT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+1.5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Hemoptysis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+1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Active cancer (treatment within 6 mo or palliative)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+1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Original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Simplified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 Unlikely (~12% prevalence)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≤4 points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≤1 point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PE Likely (~30% prevalence)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&gt;4 points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≥2 points</w:t>
            </w:r>
          </w:p>
        </w:tc>
      </w:tr>
    </w:tbl>
    <w:p>
      <w:pPr>
        <w:pStyle w:val="Heading1"/>
      </w:pPr>
      <w:r>
        <w:t xml:space="preserve">3. D-Dimer Testing Strategies</w:t>
      </w:r>
    </w:p>
    <w:p>
      <w:pPr>
        <w:pStyle w:val="Heading2"/>
      </w:pPr>
      <w:r>
        <w:t xml:space="preserve">Age-Adjusted D-Dimer (Validated by van Es 2017)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 cut-off: </w:t>
      </w:r>
      <w:r>
        <w:t xml:space="preserve">500 µg/L (or 500 ng/mL FEU)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Age-adjusted cut-off (age &gt;50): </w:t>
      </w:r>
      <w:r>
        <w:t xml:space="preserve">Age × 10 µg/L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Efficiency: </w:t>
      </w:r>
      <w:r>
        <w:t xml:space="preserve">~30% of patients can have PE excluded with Wells + age-adjusted D-dimer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Failure rate: </w:t>
      </w:r>
      <w:r>
        <w:t xml:space="preserve">0.8-0.9% (3-month VTE risk in patients with negative workup)</w:t>
      </w:r>
    </w:p>
    <w:p>
      <w:pPr>
        <w:pStyle w:val="Heading2"/>
      </w:pPr>
      <w:r>
        <w:t xml:space="preserve">YEARS Algorithm (Probability-Adjusted)</w:t>
      </w:r>
    </w:p>
    <w:p>
      <w:pPr>
        <w:spacing w:after="80"/>
      </w:pPr>
      <w:r>
        <w:t xml:space="preserve">Three clinical items: (1) Signs of DVT, (2) Hemoptysis, (3) PE most likely diagnosis</w:t>
      </w:r>
    </w:p>
    <w:p>
      <w:pPr>
        <w:pStyle w:val="ListParagraph"/>
        <w:numPr>
          <w:ilvl w:val="0"/>
          <w:numId w:val="2"/>
        </w:numPr>
      </w:pPr>
      <w:r>
        <w:t xml:space="preserve">NO clinical items + D-dimer &lt;1000 ng/mL = PE excluded</w:t>
      </w:r>
    </w:p>
    <w:p>
      <w:pPr>
        <w:pStyle w:val="ListParagraph"/>
        <w:numPr>
          <w:ilvl w:val="0"/>
          <w:numId w:val="2"/>
        </w:numPr>
      </w:pPr>
      <w:r>
        <w:t xml:space="preserve">≥1 clinical item + D-dimer &lt;500 ng/mL = PE excluded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All others require CTPA</w:t>
      </w:r>
    </w:p>
    <w:p>
      <w:pPr>
        <w:shd w:fill="FFF2CC" w:val="clear"/>
        <w:spacing w:before="120" w:after="120"/>
        <w:ind w:left="360" w:right="360"/>
      </w:pPr>
      <w:r>
        <w:rPr>
          <w:b/>
          <w:bCs/>
          <w:color w:val="C00000"/>
        </w:rPr>
        <w:t xml:space="preserve">CRITICAL: </w:t>
      </w:r>
      <w:r>
        <w:rPr>
          <w:color w:val="C00000"/>
        </w:rPr>
        <w:t xml:space="preserve">D-dimer should NOT be measured in HIGH clinical probability (low NPV). Less useful in hospitalized patients, cancer, pregnancy, severe infection/inflammation.</w:t>
      </w:r>
    </w:p>
    <w:p>
      <w:pPr>
        <w:pStyle w:val="Heading1"/>
      </w:pPr>
      <w:r>
        <w:t xml:space="preserve">4. Risk Stratification: PESI and sPESI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80"/>
        <w:gridCol w:w="2590"/>
        <w:gridCol w:w="2590"/>
      </w:tblGrid>
      <w:tr>
        <w:trPr>
          <w:tblHeader/>
        </w:trP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PESI Points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sPESI Points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Age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Age in years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+1 if &gt;80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Male sex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+10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Cancer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+30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Chronic heart failure or pulmonary disease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+10 each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+1 (either)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Pulse ≥110 bpm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+20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SBP &lt;100 mmHg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+30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SpO₂ &lt;90%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+20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Respiratory rate &gt;30/min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+20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Temperature &lt;36°C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+20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Altered mental status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+60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3"/>
        <w:spacing w:before="200"/>
      </w:pPr>
      <w:r>
        <w:t xml:space="preserve">sPESI Interpretation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sPESI = 0: </w:t>
      </w:r>
      <w:r>
        <w:t xml:space="preserve">Low risk, 30-day mortality ~1.0%, suitable for outpatient treatment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sPESI ≥1: </w:t>
      </w:r>
      <w:r>
        <w:t xml:space="preserve">Higher risk, 30-day mortality ~10.9%, consider hospitalization</w:t>
      </w:r>
    </w:p>
    <w:p>
      <w:pPr>
        <w:pStyle w:val="Heading1"/>
      </w:pPr>
      <w:r>
        <w:t xml:space="preserve">5. Four-Tier Risk Classification (ESC 2019)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2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 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Hemodynamics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RV Dysfunction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Troponin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UNSTABLE (shock/arrest)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Usually present (not required)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Not required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THROMBOLYSIS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INTERMEDIATE-HIGH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POSITIVE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POSITIVE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Monitor; rescue lysis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INTERMEDIATE-LOW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One or neither positive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One or neither positive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Hospitalize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Optional if sPESI=0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Optional if sPESI=0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OUTPATIENT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Anticoagulation Treatment (CHEST 2021 + ESC 2019)</w:t>
      </w:r>
    </w:p>
    <w:p>
      <w:pPr>
        <w:pStyle w:val="Heading2"/>
      </w:pPr>
      <w:r>
        <w:t xml:space="preserve">Initial Anticoagulation</w:t>
      </w:r>
    </w:p>
    <w:p>
      <w:pPr>
        <w:shd w:fill="FFF2CC" w:val="clear"/>
        <w:spacing w:before="80" w:after="120"/>
        <w:ind w:left="360" w:right="360"/>
      </w:pPr>
      <w:r>
        <w:rPr>
          <w:b/>
          <w:bCs/>
        </w:rPr>
        <w:t xml:space="preserve">START IMMEDIATELY </w:t>
      </w:r>
      <w:r>
        <w:t xml:space="preserve">in high/intermediate clinical probability while awaiting diagnostic results (unless bleeding or absolute contraindications)</w:t>
      </w:r>
    </w:p>
    <w:p>
      <w:pPr>
        <w:pStyle w:val="Heading3"/>
      </w:pPr>
      <w:r>
        <w:t xml:space="preserve">Preferred Anticoagulants (CHEST Strong Recommendation)</w:t>
      </w:r>
    </w:p>
    <w:p>
      <w:pPr>
        <w:spacing w:after="80"/>
      </w:pPr>
      <w:r>
        <w:rPr>
          <w:b/>
          <w:bCs/>
          <w:color w:val="1F4E79"/>
        </w:rPr>
        <w:t xml:space="preserve">DOACs are FIRST-LINE over VKAs for eligible patients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80"/>
        <w:gridCol w:w="41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Drug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Initiation Dosing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Maintenance Dosing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Rivaroxaban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15 mg BID × 3 weeks (single-drug)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 mg daily (caution CrCl 15-29)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Apixaban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10 mg BID × 7 days (single-drug)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5 mg BID (caution CrCl 15-29)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Edoxaban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Heparin ≥5 days first (parenteral lead-in)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60 mg daily (30 mg if CrCl 15-50)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Dabigatran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Heparin ≥5 days first (parenteral lead-in)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150 mg BID (avoid CrCl &lt;30)</w:t>
            </w:r>
          </w:p>
        </w:tc>
      </w:tr>
    </w:tbl>
    <w:p>
      <w:pPr>
        <w:pStyle w:val="Heading3"/>
        <w:spacing w:before="200"/>
      </w:pPr>
      <w:r>
        <w:t xml:space="preserve">DOAC Contraindications</w:t>
      </w:r>
    </w:p>
    <w:p>
      <w:pPr>
        <w:pStyle w:val="ListParagraph"/>
        <w:numPr>
          <w:ilvl w:val="0"/>
          <w:numId w:val="2"/>
        </w:numPr>
      </w:pPr>
      <w:r>
        <w:t xml:space="preserve">Severe renal impairment (thresholds vary by drug)</w:t>
      </w:r>
    </w:p>
    <w:p>
      <w:pPr>
        <w:pStyle w:val="ListParagraph"/>
        <w:numPr>
          <w:ilvl w:val="0"/>
          <w:numId w:val="2"/>
        </w:numPr>
      </w:pPr>
      <w:r>
        <w:t xml:space="preserve">Antiphospholipid syndrome (use VKA per CHEST 2021)</w:t>
      </w:r>
    </w:p>
    <w:p>
      <w:pPr>
        <w:pStyle w:val="ListParagraph"/>
        <w:numPr>
          <w:ilvl w:val="0"/>
          <w:numId w:val="2"/>
        </w:numPr>
      </w:pPr>
      <w:r>
        <w:t xml:space="preserve">Pregnancy</w:t>
      </w:r>
    </w:p>
    <w:p>
      <w:pPr>
        <w:pStyle w:val="ListParagraph"/>
        <w:numPr>
          <w:ilvl w:val="0"/>
          <w:numId w:val="2"/>
        </w:numPr>
      </w:pPr>
      <w:r>
        <w:t xml:space="preserve">Active cancer: LMWH or oral Xa inhibitor (see special populations)</w:t>
      </w:r>
    </w:p>
    <w:p>
      <w:pPr>
        <w:pStyle w:val="Heading1"/>
      </w:pPr>
      <w:r>
        <w:t xml:space="preserve">7. Reperfusion Therapy (CHEST 2021 + ESC 2019)</w:t>
      </w:r>
    </w:p>
    <w:p>
      <w:pPr>
        <w:pStyle w:val="Heading2"/>
      </w:pPr>
      <w:r>
        <w:t xml:space="preserve">Systemic Thrombolysis Indications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430"/>
        <w:gridCol w:w="343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Strength/Evidence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HIGH-RISK PE (hypotension) without high bleeding risk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SUGGEST thrombolysis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Weak, Low certainty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MOST normotensive PE patients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RECOMMEND AGAINST thrombolysis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Strong, Low certainty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Intermediate-high risk with DETERIORATION after starting anticoagulation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SUGGEST rescue thrombolysis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Weak, Low certainty</w:t>
            </w:r>
          </w:p>
        </w:tc>
      </w:tr>
    </w:tbl>
    <w:p>
      <w:pPr>
        <w:pStyle w:val="Heading3"/>
        <w:spacing w:before="200"/>
      </w:pPr>
      <w:r>
        <w:t xml:space="preserve">Alteplase Dosing</w:t>
      </w:r>
    </w:p>
    <w:p>
      <w:pPr>
        <w:spacing w:after="80"/>
      </w:pPr>
      <w:r>
        <w:rPr>
          <w:b/>
          <w:bCs/>
        </w:rPr>
        <w:t xml:space="preserve">Accelerated regimen: </w:t>
      </w:r>
      <w:r>
        <w:t xml:space="preserve">100 mg IV over 2 hours</w:t>
      </w:r>
    </w:p>
    <w:p>
      <w:pPr>
        <w:pStyle w:val="Heading3"/>
      </w:pPr>
      <w:r>
        <w:t xml:space="preserve">Absolute Contraindications to Thrombolysis</w:t>
      </w:r>
    </w:p>
    <w:p>
      <w:pPr>
        <w:pStyle w:val="ListParagraph"/>
        <w:numPr>
          <w:ilvl w:val="0"/>
          <w:numId w:val="2"/>
        </w:numPr>
      </w:pPr>
      <w:r>
        <w:t xml:space="preserve">History of hemorrhagic stroke or stroke of unknown origin</w:t>
      </w:r>
    </w:p>
    <w:p>
      <w:pPr>
        <w:pStyle w:val="ListParagraph"/>
        <w:numPr>
          <w:ilvl w:val="0"/>
          <w:numId w:val="2"/>
        </w:numPr>
      </w:pPr>
      <w:r>
        <w:t xml:space="preserve">Ischemic stroke in previous 6 months</w:t>
      </w:r>
    </w:p>
    <w:p>
      <w:pPr>
        <w:pStyle w:val="ListParagraph"/>
        <w:numPr>
          <w:ilvl w:val="0"/>
          <w:numId w:val="2"/>
        </w:numPr>
      </w:pPr>
      <w:r>
        <w:t xml:space="preserve">CNS neoplasm</w:t>
      </w:r>
    </w:p>
    <w:p>
      <w:pPr>
        <w:pStyle w:val="ListParagraph"/>
        <w:numPr>
          <w:ilvl w:val="0"/>
          <w:numId w:val="2"/>
        </w:numPr>
      </w:pPr>
      <w:r>
        <w:t xml:space="preserve">Major trauma, surgery, or head injury in previous 3 weeks</w:t>
      </w:r>
    </w:p>
    <w:p>
      <w:pPr>
        <w:pStyle w:val="ListParagraph"/>
        <w:numPr>
          <w:ilvl w:val="0"/>
          <w:numId w:val="2"/>
        </w:numPr>
      </w:pPr>
      <w:r>
        <w:t xml:space="preserve">Bleeding diathesis or active bleeding</w:t>
      </w:r>
    </w:p>
    <w:p>
      <w:pPr>
        <w:pStyle w:val="Heading2"/>
      </w:pPr>
      <w:r>
        <w:t xml:space="preserve">Catheter-Directed Therapy (CHEST 2021)</w:t>
      </w:r>
    </w:p>
    <w:p>
      <w:pPr>
        <w:pStyle w:val="ListParagraph"/>
        <w:numPr>
          <w:ilvl w:val="0"/>
          <w:numId w:val="2"/>
        </w:numPr>
      </w:pPr>
      <w:r>
        <w:t xml:space="preserve">Systemic thrombolysis preferred over CDT when thrombolysis indicated (Weak, Low certainty)</w:t>
      </w:r>
    </w:p>
    <w:p>
      <w:pPr>
        <w:pStyle w:val="ListParagraph"/>
        <w:numPr>
          <w:ilvl w:val="0"/>
          <w:numId w:val="2"/>
        </w:numPr>
      </w:pPr>
      <w:r>
        <w:t xml:space="preserve">Consider catheter-assisted thrombus removal when: high bleeding risk, failed systemic thrombolysis, or shock likely to cause death before systemic thrombolysis can take effect</w:t>
      </w:r>
    </w:p>
    <w:p>
      <w:pPr>
        <w:pStyle w:val="Heading1"/>
      </w:pPr>
      <w:r>
        <w:t xml:space="preserve">8. IVC Filters (CHEST 2021)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RECOMMEND AGAINST </w:t>
      </w:r>
      <w:r>
        <w:t xml:space="preserve">IVC filter in addition to anticoagulants (Strong, Moderate certainty)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RECOMMEND </w:t>
      </w:r>
      <w:r>
        <w:t xml:space="preserve">IVC filter in patients with acute proximal DVT and a CONTRAINDICATION to anticoagulation (Strong, Moderate certainty)</w:t>
      </w:r>
    </w:p>
    <w:p>
      <w:pPr>
        <w:pStyle w:val="ListParagraph"/>
        <w:numPr>
          <w:ilvl w:val="0"/>
          <w:numId w:val="2"/>
        </w:numPr>
      </w:pPr>
      <w:r>
        <w:t xml:space="preserve">Promptly remove IVC filter when anticoagulant therapy has been instituted</w:t>
      </w:r>
    </w:p>
    <w:p>
      <w:pPr>
        <w:pStyle w:val="Heading1"/>
      </w:pPr>
      <w:r>
        <w:t xml:space="preserve">9. Outpatient Treatment of Low-Risk PE (CHEST 2021)</w:t>
      </w:r>
    </w:p>
    <w:p>
      <w:pPr>
        <w:shd w:fill="FFF2CC" w:val="clear"/>
        <w:spacing w:before="80" w:after="120"/>
        <w:ind w:left="360" w:right="360"/>
      </w:pPr>
      <w:r>
        <w:rPr>
          <w:b/>
          <w:bCs/>
        </w:rPr>
        <w:t xml:space="preserve">Strong Recommendation: </w:t>
      </w:r>
      <w:r>
        <w:t xml:space="preserve">Outpatient treatment recommended over hospitalization for low-risk PE, provided adequate access to medications, outpatient care, and home circumstances</w:t>
      </w:r>
    </w:p>
    <w:p>
      <w:pPr>
        <w:pStyle w:val="Heading3"/>
      </w:pPr>
      <w:r>
        <w:t xml:space="preserve">Criteria for Outpatient Treatment</w:t>
      </w:r>
    </w:p>
    <w:p>
      <w:pPr>
        <w:pStyle w:val="ListParagraph"/>
        <w:numPr>
          <w:ilvl w:val="0"/>
          <w:numId w:val="2"/>
        </w:numPr>
      </w:pPr>
      <w:r>
        <w:t xml:space="preserve">sPESI = 0 or PESI Class I-II</w:t>
      </w:r>
    </w:p>
    <w:p>
      <w:pPr>
        <w:pStyle w:val="ListParagraph"/>
        <w:numPr>
          <w:ilvl w:val="0"/>
          <w:numId w:val="2"/>
        </w:numPr>
      </w:pPr>
      <w:r>
        <w:t xml:space="preserve">No RV dysfunction or elevated cardiac biomarkers</w:t>
      </w:r>
    </w:p>
    <w:p>
      <w:pPr>
        <w:pStyle w:val="ListParagraph"/>
        <w:numPr>
          <w:ilvl w:val="0"/>
          <w:numId w:val="2"/>
        </w:numPr>
      </w:pPr>
      <w:r>
        <w:t xml:space="preserve">Adequate access to medications and follow-up</w:t>
      </w:r>
    </w:p>
    <w:p>
      <w:pPr>
        <w:pStyle w:val="ListParagraph"/>
        <w:numPr>
          <w:ilvl w:val="0"/>
          <w:numId w:val="2"/>
        </w:numPr>
      </w:pPr>
      <w:r>
        <w:t xml:space="preserve">Appropriate home circumstances</w:t>
      </w:r>
    </w:p>
    <w:p>
      <w:pPr>
        <w:pStyle w:val="Heading1"/>
      </w:pPr>
      <w:r>
        <w:t xml:space="preserve">10. Treatment Duration (CHEST 2021 + ESC 2019)</w:t>
      </w:r>
    </w:p>
    <w:p>
      <w:pPr>
        <w:pStyle w:val="Heading2"/>
      </w:pPr>
      <w:r>
        <w:t xml:space="preserve">Treatment Phase</w:t>
      </w:r>
    </w:p>
    <w:p>
      <w:pPr>
        <w:shd w:fill="FFF2CC" w:val="clear"/>
        <w:spacing w:before="80" w:after="120"/>
        <w:ind w:left="360" w:right="360"/>
      </w:pPr>
      <w:r>
        <w:rPr>
          <w:b/>
          <w:bCs/>
        </w:rPr>
        <w:t xml:space="preserve">MINIMUM 3 months for ALL PE patients </w:t>
      </w:r>
      <w:r>
        <w:t xml:space="preserve">(Strong, Moderate certainty)</w:t>
      </w:r>
    </w:p>
    <w:p>
      <w:pPr>
        <w:pStyle w:val="Heading2"/>
      </w:pPr>
      <w:r>
        <w:t xml:space="preserve">Extended-Phase Therapy Recommendations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VTE Provocation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Extended Therapy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Major transient risk factor (surgery &gt;30 min GA, hospitalization ≥3 days)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RECOMMEND AGAINST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Minor transient risk factor (surgery &lt;30 min, estrogen, pregnancy, leg injury)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SUGGEST AGAINST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Weak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Unprovoked VTE or persistent risk factor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RECOMMEND offering extended therapy with DOAC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Active cancer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Indefinite while cancer active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Strong</w:t>
            </w:r>
          </w:p>
        </w:tc>
      </w:tr>
    </w:tbl>
    <w:p>
      <w:pPr>
        <w:pStyle w:val="Heading3"/>
        <w:spacing w:before="200"/>
      </w:pPr>
      <w:r>
        <w:t xml:space="preserve">Extended Dose Reduction (CHEST 2021)</w:t>
      </w:r>
    </w:p>
    <w:p>
      <w:pPr>
        <w:spacing w:after="80"/>
      </w:pPr>
      <w:r>
        <w:t xml:space="preserve">After 6 months, consider reduced-dose DOACs for extended treatment (Weak recommendation):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Rivaroxaban: </w:t>
      </w:r>
      <w:r>
        <w:t xml:space="preserve">10 mg daily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Apixaban: </w:t>
      </w:r>
      <w:r>
        <w:t xml:space="preserve">2.5 mg BID</w:t>
      </w:r>
    </w:p>
    <w:p>
      <w:pPr>
        <w:pStyle w:val="Heading1"/>
      </w:pPr>
      <w:r>
        <w:t xml:space="preserve">11. Special Populations</w:t>
      </w:r>
    </w:p>
    <w:p>
      <w:pPr>
        <w:pStyle w:val="Heading2"/>
      </w:pPr>
      <w:r>
        <w:t xml:space="preserve">Subsegmental PE (CHEST 2021)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Low risk for recurrence + no proximal DVT: </w:t>
      </w:r>
      <w:r>
        <w:t xml:space="preserve">Suggest clinical surveillance over anticoagulation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 risk for recurrence: </w:t>
      </w:r>
      <w:r>
        <w:t xml:space="preserve">Suggest anticoagulation</w:t>
      </w:r>
    </w:p>
    <w:p>
      <w:pPr>
        <w:pStyle w:val="Heading2"/>
      </w:pPr>
      <w:r>
        <w:t xml:space="preserve">Cancer-Associated Thrombosis (CHEST 2021)</w:t>
      </w:r>
    </w:p>
    <w:p>
      <w:pPr>
        <w:shd w:fill="FFF2CC" w:val="clear"/>
        <w:spacing w:before="80" w:after="120"/>
        <w:ind w:left="360" w:right="360"/>
      </w:pPr>
      <w:r>
        <w:rPr>
          <w:b/>
          <w:bCs/>
        </w:rPr>
        <w:t xml:space="preserve">RECOMMEND oral Xa inhibitor (apixaban, edoxaban, rivaroxaban) over LMWH </w:t>
      </w:r>
      <w:r>
        <w:t xml:space="preserve">(Strong, Moderate certainty)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CAUTION with luminal GI malignancies: </w:t>
      </w:r>
      <w:r>
        <w:t xml:space="preserve">Edoxaban and rivaroxaban associated with higher GI bleeding; apixaban or LMWH may be preferred</w:t>
      </w:r>
    </w:p>
    <w:p>
      <w:pPr>
        <w:pStyle w:val="Heading2"/>
      </w:pPr>
      <w:r>
        <w:t xml:space="preserve">Antiphospholipid Syndrome (CHEST 2021)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SUGGEST VKA (target INR 2.5) over DOAC </w:t>
      </w:r>
      <w:r>
        <w:t xml:space="preserve">(Weak, Low certainty)</w:t>
      </w:r>
    </w:p>
    <w:p>
      <w:pPr>
        <w:pStyle w:val="ListParagraph"/>
        <w:numPr>
          <w:ilvl w:val="0"/>
          <w:numId w:val="2"/>
        </w:numPr>
      </w:pPr>
      <w:r>
        <w:t xml:space="preserve">Triple-positive APS: VKA strongly favored over DOAC</w:t>
      </w:r>
    </w:p>
    <w:p>
      <w:pPr>
        <w:pStyle w:val="Heading2"/>
      </w:pPr>
      <w:r>
        <w:t xml:space="preserve">Pregnancy (ESC 2019)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Treatment of choice: </w:t>
      </w:r>
      <w:r>
        <w:t xml:space="preserve">LMWH (does not cross placenta)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NOACs: </w:t>
      </w:r>
      <w:r>
        <w:t xml:space="preserve">CONTRAINDICATED in pregnancy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Duration: </w:t>
      </w:r>
      <w:r>
        <w:t xml:space="preserve">Continue ≥6 weeks postpartum, minimum 3 months total</w:t>
      </w:r>
    </w:p>
    <w:p>
      <w:pPr>
        <w:pStyle w:val="Heading1"/>
      </w:pPr>
      <w:r>
        <w:t xml:space="preserve">12. Key Clinical Pearls for Case Development</w:t>
      </w:r>
    </w:p>
    <w:p>
      <w:pPr>
        <w:pStyle w:val="Heading2"/>
      </w:pPr>
      <w:r>
        <w:t xml:space="preserve">Diagnostic Approach</w:t>
      </w:r>
    </w:p>
    <w:p>
      <w:pPr>
        <w:pStyle w:val="ListParagraph"/>
        <w:numPr>
          <w:ilvl w:val="0"/>
          <w:numId w:val="3"/>
        </w:numPr>
      </w:pPr>
      <w:r>
        <w:t xml:space="preserve">ALWAYS assess clinical probability BEFORE ordering D-dimer or imaging</w:t>
      </w:r>
    </w:p>
    <w:p>
      <w:pPr>
        <w:pStyle w:val="ListParagraph"/>
        <w:numPr>
          <w:ilvl w:val="0"/>
          <w:numId w:val="3"/>
        </w:numPr>
      </w:pPr>
      <w:r>
        <w:t xml:space="preserve">D-dimer has NO role in HIGH clinical probability - proceed directly to imaging</w:t>
      </w:r>
    </w:p>
    <w:p>
      <w:pPr>
        <w:pStyle w:val="ListParagraph"/>
        <w:numPr>
          <w:ilvl w:val="0"/>
          <w:numId w:val="3"/>
        </w:numPr>
      </w:pPr>
      <w:r>
        <w:t xml:space="preserve">Simplified Wells performs as well as original and is preferred for ease of use</w:t>
      </w:r>
    </w:p>
    <w:p>
      <w:pPr>
        <w:pStyle w:val="ListParagraph"/>
        <w:numPr>
          <w:ilvl w:val="0"/>
          <w:numId w:val="3"/>
        </w:numPr>
      </w:pPr>
      <w:r>
        <w:t xml:space="preserve">Age-adjusted D-dimer (age × 10 µg/L for &gt;50 years) improves specificity in elderly</w:t>
      </w:r>
    </w:p>
    <w:p>
      <w:pPr>
        <w:pStyle w:val="Heading2"/>
      </w:pPr>
      <w:r>
        <w:t xml:space="preserve">Risk Stratification</w:t>
      </w:r>
    </w:p>
    <w:p>
      <w:pPr>
        <w:pStyle w:val="ListParagraph"/>
        <w:numPr>
          <w:ilvl w:val="0"/>
          <w:numId w:val="3"/>
        </w:numPr>
      </w:pPr>
      <w:r>
        <w:t xml:space="preserve">Hemodynamic instability = HIGH-RISK PE regardless of other findings</w:t>
      </w:r>
    </w:p>
    <w:p>
      <w:pPr>
        <w:pStyle w:val="ListParagraph"/>
        <w:numPr>
          <w:ilvl w:val="0"/>
          <w:numId w:val="3"/>
        </w:numPr>
      </w:pPr>
      <w:r>
        <w:t xml:space="preserve">BOTH RV dysfunction AND elevated troponin required for intermediate-HIGH risk</w:t>
      </w:r>
    </w:p>
    <w:p>
      <w:pPr>
        <w:pStyle w:val="ListParagraph"/>
        <w:numPr>
          <w:ilvl w:val="0"/>
          <w:numId w:val="3"/>
        </w:numPr>
      </w:pPr>
      <w:r>
        <w:t xml:space="preserve">sPESI = 0 identifies low-risk patients suitable for outpatient treatment</w:t>
      </w:r>
    </w:p>
    <w:p>
      <w:pPr>
        <w:pStyle w:val="Heading2"/>
      </w:pPr>
      <w:r>
        <w:t xml:space="preserve">Treatment Decisions</w:t>
      </w:r>
    </w:p>
    <w:p>
      <w:pPr>
        <w:pStyle w:val="ListParagraph"/>
        <w:numPr>
          <w:ilvl w:val="0"/>
          <w:numId w:val="3"/>
        </w:numPr>
      </w:pPr>
      <w:r>
        <w:t xml:space="preserve">Start anticoagulation IMMEDIATELY in high/intermediate probability while awaiting results</w:t>
      </w:r>
    </w:p>
    <w:p>
      <w:pPr>
        <w:pStyle w:val="ListParagraph"/>
        <w:numPr>
          <w:ilvl w:val="0"/>
          <w:numId w:val="3"/>
        </w:numPr>
      </w:pPr>
      <w:r>
        <w:t xml:space="preserve">DOACs are FIRST-LINE over VKAs for eligible patients</w:t>
      </w:r>
    </w:p>
    <w:p>
      <w:pPr>
        <w:pStyle w:val="ListParagraph"/>
        <w:numPr>
          <w:ilvl w:val="0"/>
          <w:numId w:val="3"/>
        </w:numPr>
      </w:pPr>
      <w:r>
        <w:t xml:space="preserve">Thrombolysis is first-line for HIGH-RISK PE only, NOT for intermediate-risk</w:t>
      </w:r>
    </w:p>
    <w:p>
      <w:pPr>
        <w:pStyle w:val="ListParagraph"/>
        <w:numPr>
          <w:ilvl w:val="0"/>
          <w:numId w:val="3"/>
        </w:numPr>
      </w:pPr>
      <w:r>
        <w:t xml:space="preserve">"Rescue" thrombolysis for intermediate-high risk patients who deteriorate</w:t>
      </w:r>
    </w:p>
    <w:p>
      <w:pPr>
        <w:pStyle w:val="ListParagraph"/>
        <w:numPr>
          <w:ilvl w:val="0"/>
          <w:numId w:val="3"/>
        </w:numPr>
      </w:pPr>
      <w:r>
        <w:t xml:space="preserve">IVC filters: Only when anticoagulation contraindicated; remove promptly when AC started</w:t>
      </w:r>
    </w:p>
    <w:p>
      <w:pPr>
        <w:pStyle w:val="Heading2"/>
      </w:pPr>
      <w:r>
        <w:t xml:space="preserve">Duration of Treatment</w:t>
      </w:r>
    </w:p>
    <w:p>
      <w:pPr>
        <w:pStyle w:val="ListParagraph"/>
        <w:numPr>
          <w:ilvl w:val="0"/>
          <w:numId w:val="3"/>
        </w:numPr>
      </w:pPr>
      <w:r>
        <w:t xml:space="preserve">MINIMUM 3 months for ALL PE patients</w:t>
      </w:r>
    </w:p>
    <w:p>
      <w:pPr>
        <w:pStyle w:val="ListParagraph"/>
        <w:numPr>
          <w:ilvl w:val="0"/>
          <w:numId w:val="3"/>
        </w:numPr>
      </w:pPr>
      <w:r>
        <w:t xml:space="preserve">Major transient risk factor = 3 months only</w:t>
      </w:r>
    </w:p>
    <w:p>
      <w:pPr>
        <w:pStyle w:val="ListParagraph"/>
        <w:numPr>
          <w:ilvl w:val="0"/>
          <w:numId w:val="3"/>
        </w:numPr>
      </w:pPr>
      <w:r>
        <w:t xml:space="preserve">"Unprovoked" PE = extended anticoagulation recommended</w:t>
      </w:r>
    </w:p>
    <w:p>
      <w:pPr>
        <w:pStyle w:val="ListParagraph"/>
        <w:numPr>
          <w:ilvl w:val="0"/>
          <w:numId w:val="3"/>
        </w:numPr>
      </w:pPr>
      <w:r>
        <w:t xml:space="preserve">After 6 months extended therapy, reduced-dose rivaroxaban (10 mg) or apixaban (2.5 mg BID) reduces bleeding</w:t>
      </w:r>
    </w:p>
    <w:p>
      <w:pPr>
        <w:pStyle w:val="ListParagraph"/>
        <w:numPr>
          <w:ilvl w:val="0"/>
          <w:numId w:val="3"/>
        </w:numPr>
      </w:pPr>
      <w:r>
        <w:t xml:space="preserve">Reassess extended therapy at least annually</w:t>
      </w:r>
    </w:p>
    <w:p>
      <w:pPr>
        <w:spacing w:before="400"/>
        <w:jc w:val="center"/>
      </w:pPr>
      <w:r>
        <w:rPr>
          <w:i/>
          <w:iCs/>
          <w:color w:val="666666"/>
          <w:sz w:val="18"/>
          <w:szCs w:val="18"/>
        </w:rPr>
        <w:t xml:space="preserve">ReasonDx Clinical Reasoning Platform | NSU Dr. Kiran C. Patel College of Allopathic Medicine</w:t>
      </w:r>
    </w:p>
    <w:p>
      <w:pPr>
        <w:spacing w:after="200"/>
        <w:jc w:val="center"/>
      </w:pPr>
      <w:r>
        <w:rPr>
          <w:i/>
          <w:iCs/>
          <w:color w:val="888888"/>
          <w:sz w:val="18"/>
          <w:szCs w:val="18"/>
        </w:rPr>
        <w:t xml:space="preserve">Document Created: December 2025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Comprehensive PE Guidelines Reference | ReasonDx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2025-12-21T18:46:54.762Z</dcterms:created>
  <dcterms:modified xsi:type="dcterms:W3CDTF">2025-12-21T18:46:54.763Z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