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ED Chest Pain Evaluation</w:t>
      </w:r>
    </w:p>
    <w:p>
      <w:pPr>
        <w:spacing w:after="200"/>
        <w:jc w:val="center"/>
      </w:pPr>
      <w:r>
        <w:rPr>
          <w:i/>
          <w:iCs/>
          <w:color w:val="666666"/>
          <w:sz w:val="24"/>
          <w:szCs w:val="24"/>
        </w:rPr>
        <w:t xml:space="preserve">Acute Coronary Syndrome Workup</w:t>
      </w:r>
    </w:p>
    <w:p>
      <w:pPr>
        <w:spacing w:after="400"/>
        <w:jc w:val="center"/>
      </w:pPr>
      <w:r>
        <w:rPr>
          <w:color w:val="999999"/>
          <w:sz w:val="18"/>
          <w:szCs w:val="18"/>
        </w:rPr>
        <w:t xml:space="preserve">Based on BMJ State of the Art Review (2025) | Clinical Reference for ReasonDx</w:t>
      </w:r>
    </w:p>
    <w:p>
      <w:pPr>
        <w:pStyle w:val="Heading1"/>
      </w:pPr>
      <w:r>
        <w:t xml:space="preserve">1. Epidemiology &amp; Key Facts</w:t>
      </w:r>
    </w:p>
    <w:p>
      <w:pPr>
        <w:pStyle w:val="ListParagraph"/>
        <w:numPr>
          <w:ilvl w:val="0"/>
          <w:numId w:val="2"/>
        </w:numPr>
      </w:pPr>
      <w:r>
        <w:t xml:space="preserve">Chest pain = 2nd most common ED presenting symptom (~5% of visits)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Only 5.1% of chest pain patients have ACS</w:t>
      </w:r>
      <w:r>
        <w:t xml:space="preserve">; &gt;50% have non-cardiac cause</w:t>
      </w:r>
    </w:p>
    <w:p>
      <w:pPr>
        <w:pStyle w:val="ListParagraph"/>
        <w:numPr>
          <w:ilvl w:val="0"/>
          <w:numId w:val="2"/>
        </w:numPr>
      </w:pPr>
      <w:r>
        <w:t xml:space="preserve">~70% of MI are NSTEMI/UA (vs 30% STEMI)</w:t>
      </w:r>
    </w:p>
    <w:p>
      <w:pPr>
        <w:pStyle w:val="ListParagraph"/>
        <w:numPr>
          <w:ilvl w:val="0"/>
          <w:numId w:val="2"/>
        </w:numPr>
      </w:pPr>
      <w:r>
        <w:t xml:space="preserve">Mean age at first MI: Men 65.6 years, Women 72.0 years</w:t>
      </w:r>
    </w:p>
    <w:p>
      <w:pPr>
        <w:pStyle w:val="ListParagraph"/>
        <w:numPr>
          <w:ilvl w:val="0"/>
          <w:numId w:val="2"/>
        </w:numPr>
      </w:pPr>
      <w:r>
        <w:t xml:space="preserve">40% of patients return to ED for chest pain within 1 year</w:t>
      </w:r>
    </w:p>
    <w:p>
      <w:pPr>
        <w:pStyle w:val="Heading1"/>
      </w:pPr>
      <w:r>
        <w:t xml:space="preserve">2. Initial Evaluation</w:t>
      </w:r>
    </w:p>
    <w:p>
      <w:pPr>
        <w:pStyle w:val="Heading2"/>
      </w:pPr>
      <w:r>
        <w:t xml:space="preserve">2.1 History Features Associated with ACS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200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LR+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LR-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</w:rPr>
              <w:t xml:space="preserve">Pain radiating to BOTH arms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t xml:space="preserve">0.67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Pain like prior ischemia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2.2-3.2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Prior abnormal stress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0.79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Known peripheral artery disease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2.7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0.89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Known CAD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0.71</w:t>
            </w:r>
          </w:p>
        </w:tc>
      </w:tr>
    </w:tbl>
    <w:p>
      <w:pPr>
        <w:spacing w:before="100"/>
      </w:pPr>
      <w:r>
        <w:rPr>
          <w:b/>
          <w:bCs/>
        </w:rPr>
        <w:t xml:space="preserve">KEY: </w:t>
      </w:r>
      <w:r>
        <w:t xml:space="preserve">LR+ &gt;5 significantly increases probability; LR- &lt;0.2 significantly decreases probability</w:t>
      </w:r>
    </w:p>
    <w:p>
      <w:pPr>
        <w:shd w:fill="FFF2CC" w:val="clear"/>
        <w:spacing w:before="100"/>
      </w:pPr>
      <w:r>
        <w:rPr>
          <w:b/>
          <w:bCs/>
          <w:color w:val="C00000"/>
        </w:rPr>
        <w:t xml:space="preserve">AVOID: </w:t>
      </w:r>
      <w:r>
        <w:t xml:space="preserve">Do NOT describe chest pain as "atypical" - this is unhelpful and implies benign etiology</w:t>
      </w:r>
    </w:p>
    <w:p>
      <w:pPr>
        <w:pStyle w:val="Heading1"/>
      </w:pPr>
      <w:r>
        <w:t xml:space="preserve">3. Electrocardiogram</w:t>
      </w:r>
    </w:p>
    <w:p>
      <w:r>
        <w:rPr>
          <w:b/>
          <w:bCs/>
        </w:rPr>
        <w:t xml:space="preserve">Goal: ECG within 10 minutes of presentation</w:t>
      </w:r>
    </w:p>
    <w:p>
      <w:pPr>
        <w:pStyle w:val="Heading2"/>
      </w:pPr>
      <w:r>
        <w:t xml:space="preserve">3.1 STEMI Criteria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Lead Location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 Elevation Criteria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V2-V3 (Men ≥40 years)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≥2 mm (0.2 mV)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V2-V3 (Men &lt;40 years)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≥2.5 mm (0.25 mV)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V2-V3 (Women, any age)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≥1.5 mm (0.15 mV)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All other leads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≥1 mm (0.1 mV)</w:t>
            </w:r>
          </w:p>
        </w:tc>
      </w:tr>
    </w:tbl>
    <w:p>
      <w:pPr>
        <w:spacing w:before="100"/>
      </w:pPr>
      <w:r>
        <w:rPr>
          <w:b/>
          <w:bCs/>
        </w:rPr>
        <w:t xml:space="preserve">Diagnostic accuracy: </w:t>
      </w:r>
      <w:r>
        <w:t xml:space="preserve">43.6% sensitive, 96.5% specific for occlusion MI</w:t>
      </w:r>
    </w:p>
    <w:p>
      <w:pPr>
        <w:pStyle w:val="Heading2"/>
      </w:pPr>
      <w:r>
        <w:t xml:space="preserve">3.2 Modified Sgarbossa Criteria (LBBB/Paced Rhythm)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Concordant ST elevation ≥1 mm </w:t>
      </w:r>
      <w:r>
        <w:t xml:space="preserve">in any lead (5 points)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Concordant ST depression ≥1 mm </w:t>
      </w:r>
      <w:r>
        <w:t xml:space="preserve">in V1-V3 (3 points)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Discordant ST elevation with ST/S ratio ≥0.25 </w:t>
      </w:r>
      <w:r>
        <w:t xml:space="preserve">(2 points) - Modified criterion</w:t>
      </w:r>
    </w:p>
    <w:p>
      <w:pPr>
        <w:spacing w:before="100"/>
      </w:pPr>
      <w:r>
        <w:rPr>
          <w:i/>
          <w:iCs/>
        </w:rPr>
        <w:t xml:space="preserve">Note: </w:t>
      </w:r>
      <w:r>
        <w:t xml:space="preserve">&lt;50% of patients with LBBB + suspected ACS are ultimately diagnosed with AMI</w:t>
      </w:r>
    </w:p>
    <w:p>
      <w:pPr>
        <w:pStyle w:val="Heading2"/>
      </w:pPr>
      <w:r>
        <w:t xml:space="preserve">3.3 NSTE-ACS ECG Findings</w:t>
      </w:r>
    </w:p>
    <w:p>
      <w:pPr>
        <w:pStyle w:val="ListParagraph"/>
        <w:numPr>
          <w:ilvl w:val="0"/>
          <w:numId w:val="2"/>
        </w:numPr>
      </w:pPr>
      <w:r>
        <w:t xml:space="preserve">New horizontal or downsloping ST depression ≥0.5 mm in 2+ contiguous leads</w:t>
      </w:r>
    </w:p>
    <w:p>
      <w:pPr>
        <w:pStyle w:val="ListParagraph"/>
        <w:numPr>
          <w:ilvl w:val="0"/>
          <w:numId w:val="2"/>
        </w:numPr>
      </w:pPr>
      <w:r>
        <w:t xml:space="preserve">T wave inversion &gt;1 mm in 2+ contiguous leads with prominent R wave or R/S &gt;1</w:t>
      </w:r>
    </w:p>
    <w:p>
      <w:pPr>
        <w:pStyle w:val="ListParagraph"/>
        <w:numPr>
          <w:ilvl w:val="0"/>
          <w:numId w:val="2"/>
        </w:numPr>
      </w:pPr>
      <w:r>
        <w:t xml:space="preserve">Hyperacute T waves (may precede ST elevation)</w:t>
      </w:r>
    </w:p>
    <w:p>
      <w:pPr>
        <w:pStyle w:val="Heading1"/>
      </w:pPr>
      <w:r>
        <w:t xml:space="preserve">4. High-Sensitivity Cardiac Troponin (hs-cTn)</w:t>
      </w:r>
    </w:p>
    <w:p>
      <w:pPr>
        <w:pStyle w:val="Heading2"/>
      </w:pPr>
      <w:r>
        <w:t xml:space="preserve">4.1 Key Definitions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Limit of Blank (LOB)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Highest apparent concentration when no analyte is present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Limit of Detection (LOD)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Minimum concentration reliably detected (always &gt; LOB)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Limit of Quantification (LOQ)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Minimum concentration with CV ≤20% (always &gt; LOD)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99th Percentile (URL)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Cut-off below which 99% of healthy reference population falls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Delta (Δ)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Change between serial measurements; use </w:t>
            </w:r>
            <w:r>
              <w:rPr>
                <w:b/>
                <w:bCs/>
              </w:rPr>
              <w:t xml:space="preserve">absolute Δ</w:t>
            </w:r>
            <w:r>
              <w:t xml:space="preserve"> near 99th percentile</w:t>
            </w:r>
          </w:p>
        </w:tc>
      </w:tr>
    </w:tbl>
    <w:p>
      <w:pPr>
        <w:pStyle w:val="Heading2"/>
      </w:pPr>
      <w:r>
        <w:t xml:space="preserve">4.2 hs-cTn vs Conventional Troponin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hs-cTn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Conventional cTn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Sensitivity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88.4%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74.9%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Specificity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81.6%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93.8%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NPV (baseline)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96.4%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93.5%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NPV (with serial)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99.1-100%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--</w:t>
            </w:r>
          </w:p>
        </w:tc>
      </w:tr>
    </w:tbl>
    <w:p>
      <w:pPr>
        <w:pStyle w:val="Heading2"/>
      </w:pPr>
      <w:r>
        <w:t xml:space="preserve">4.3 Interpreting Elevated hs-cTn</w:t>
      </w:r>
    </w:p>
    <w:p>
      <w:pPr>
        <w:shd w:fill="E6F3FF" w:val="clear"/>
        <w:spacing w:before="100" w:after="100"/>
      </w:pPr>
      <w:r>
        <w:rPr>
          <w:i/>
          <w:iCs/>
        </w:rPr>
        <w:t xml:space="preserve">"When troponin was a lousy assay it was a great test, but now that it's becoming a great assay, it's getting to be a lousy test."</w:t>
      </w:r>
      <w:r>
        <w:t xml:space="preserve"> — Robert Jesse</w:t>
      </w:r>
    </w:p>
    <w:p>
      <w:r>
        <w:rPr>
          <w:b/>
          <w:bCs/>
        </w:rPr>
        <w:t xml:space="preserve">Elevated hs-cTn can indicate: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Type 1 MI: </w:t>
      </w:r>
      <w:r>
        <w:t xml:space="preserve">Atherosclerotic plaque rupture/erosion with thrombosis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Type 2 MI: </w:t>
      </w:r>
      <w:r>
        <w:t xml:space="preserve">Supply/demand mismatch (tachycardia, hypotension, anemia, hypoxia)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Acute myocardial injury: </w:t>
      </w:r>
      <w:r>
        <w:t xml:space="preserve">Non-ischemic (myocarditis, PE, sepsis, Takotsubo)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Chronic myocardial injury: </w:t>
      </w:r>
      <w:r>
        <w:t xml:space="preserve">CKD, HF, LVH, stable CAD</w:t>
      </w:r>
    </w:p>
    <w:p>
      <w:r>
        <w:br w:type="page"/>
      </w:r>
    </w:p>
    <w:p>
      <w:pPr>
        <w:pStyle w:val="Heading2"/>
      </w:pPr>
      <w:r>
        <w:t xml:space="preserve">4.4 Non-ACS Causes of Elevated Troponin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Cardiac Conditions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Systemic Conditions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Heart failure</w:t>
            </w:r>
          </w:p>
          <w:p>
            <w:r>
              <w:t xml:space="preserve">• Myocarditis</w:t>
            </w:r>
          </w:p>
          <w:p>
            <w:r>
              <w:t xml:space="preserve">• Cardiomyopathy (any type)</w:t>
            </w:r>
          </w:p>
          <w:p>
            <w:r>
              <w:t xml:space="preserve">• Takotsubo cardiomyopathy</w:t>
            </w:r>
          </w:p>
          <w:p>
            <w:r>
              <w:t xml:space="preserve">• Cardiac contusion</w:t>
            </w:r>
          </w:p>
          <w:p>
            <w:r>
              <w:t xml:space="preserve">• Post-procedure (cath, ablation, cardioversion)</w:t>
            </w:r>
          </w:p>
          <w:p>
            <w:r>
              <w:t xml:space="preserve">• Tachyarrhythmias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• Sepsis/infectious disease</w:t>
            </w:r>
          </w:p>
          <w:p>
            <w:r>
              <w:rPr>
                <w:b/>
                <w:bCs/>
              </w:rPr>
              <w:t xml:space="preserve">• Chronic kidney disease</w:t>
            </w:r>
          </w:p>
          <w:p>
            <w:r>
              <w:rPr>
                <w:b/>
                <w:bCs/>
              </w:rPr>
              <w:t xml:space="preserve">• Pulmonary embolism</w:t>
            </w:r>
          </w:p>
          <w:p>
            <w:r>
              <w:t xml:space="preserve">• Stroke/SAH</w:t>
            </w:r>
          </w:p>
          <w:p>
            <w:r>
              <w:t xml:space="preserve">• Infiltrative disease (amyloid, sarcoid)</w:t>
            </w:r>
          </w:p>
          <w:p>
            <w:r>
              <w:t xml:space="preserve">• Chemotherapy</w:t>
            </w:r>
          </w:p>
          <w:p>
            <w:r>
              <w:t xml:space="preserve">• Critical illness</w:t>
            </w:r>
          </w:p>
        </w:tc>
      </w:tr>
    </w:tbl>
    <w:p>
      <w:pPr>
        <w:spacing w:before="100"/>
      </w:pPr>
      <w:r>
        <w:rPr>
          <w:b/>
          <w:bCs/>
        </w:rPr>
        <w:t xml:space="preserve">CKD Note: </w:t>
      </w:r>
      <w:r>
        <w:t xml:space="preserve">1/3 of patients with AKI have elevated hs-cTnT without MI - decreases specificity</w:t>
      </w:r>
    </w:p>
    <w:p>
      <w:pPr>
        <w:pStyle w:val="Heading1"/>
      </w:pPr>
      <w:r>
        <w:t xml:space="preserve">5. Risk Stratification Scores</w:t>
      </w:r>
    </w:p>
    <w:p>
      <w:pPr>
        <w:pStyle w:val="Heading2"/>
      </w:pPr>
      <w:r>
        <w:t xml:space="preserve">5.1 HEART Score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Criteria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</w:t>
            </w:r>
            <w:r>
              <w:t xml:space="preserve">istory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Slightly suspicious / Moderately / Highly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 / 1 /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E</w:t>
            </w:r>
            <w:r>
              <w:t xml:space="preserve">CG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Normal / Non-specific / Significant deviation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0 / 1 /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</w:t>
            </w:r>
            <w:r>
              <w:t xml:space="preserve">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&lt;45 / 45-64 / ≥65 years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 / 1 /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R</w:t>
            </w:r>
            <w:r>
              <w:t xml:space="preserve">isk factors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0-1 RF / 2-3 RF / ≥3 RF or known CAD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0 / 1 /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</w:t>
            </w:r>
            <w:r>
              <w:t xml:space="preserve">roponin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≤Normal / 1-3× Normal / &gt;3× Normal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 / 1 / 2</w:t>
            </w:r>
          </w:p>
        </w:tc>
      </w:tr>
    </w:tbl>
    <w:p>
      <w:pPr>
        <w:spacing w:before="100"/>
      </w:pPr>
      <w:r>
        <w:rPr>
          <w:b/>
          <w:bCs/>
        </w:rPr>
        <w:t xml:space="preserve">Interpretation: </w:t>
      </w:r>
      <w:r>
        <w:t xml:space="preserve">0-3 = Low risk (safe for discharge); 4-6 = Intermediate; 7-10 = High risk</w:t>
      </w:r>
    </w:p>
    <w:p>
      <w:pPr>
        <w:pStyle w:val="Heading2"/>
      </w:pPr>
      <w:r>
        <w:t xml:space="preserve">5.2 Score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Sensitivity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% Low Risk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Key Feature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HEART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96-98%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~40%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Clinician gestalt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T-MACS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99%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~40%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Single troponin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EDACS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~50%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2h serial troponin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TIMI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97%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~25%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Established ACS</w:t>
            </w:r>
          </w:p>
        </w:tc>
      </w:tr>
    </w:tbl>
    <w:p>
      <w:pPr>
        <w:pStyle w:val="Heading1"/>
      </w:pPr>
      <w:r>
        <w:t xml:space="preserve">6. Clinical Decision Pathways</w:t>
      </w:r>
    </w:p>
    <w:p>
      <w:pPr>
        <w:pStyle w:val="Heading2"/>
      </w:pPr>
      <w:r>
        <w:t xml:space="preserve">6.1 ESC 0/1-Hour Algorithm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375623"/>
        </w:rPr>
        <w:t xml:space="preserve">RULE OUT: </w:t>
      </w:r>
      <w:r>
        <w:t xml:space="preserve">Baseline hs-cTn very low OR low + Δ &lt;threshold at 1h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RULE IN: </w:t>
      </w:r>
      <w:r>
        <w:t xml:space="preserve">High baseline hs-cTn OR significant Δ at 1h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806000"/>
        </w:rPr>
        <w:t xml:space="preserve">OBSERVE: </w:t>
      </w:r>
      <w:r>
        <w:t xml:space="preserve">Intermediate values → repeat at 3-6h</w:t>
      </w:r>
    </w:p>
    <w:p>
      <w:pPr>
        <w:spacing w:before="100"/>
      </w:pPr>
      <w:r>
        <w:rPr>
          <w:i/>
          <w:iCs/>
        </w:rPr>
        <w:t xml:space="preserve">Note: </w:t>
      </w:r>
      <w:r>
        <w:t xml:space="preserve">Cutoffs are assay-specific; algorithm does not differentiate by known CAD</w:t>
      </w:r>
    </w:p>
    <w:p>
      <w:pPr>
        <w:pStyle w:val="Heading2"/>
      </w:pPr>
      <w:r>
        <w:t xml:space="preserve">6.2 Serial Troponin Strategies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3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Strategy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Sensitivity for AMI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% Rule 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Single (&lt;LOD)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~16%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0/1h Algorithm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98-99%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~52%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0/2h Algorithm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98-99%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~55%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0/3h Algorithm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99%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~60%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Management by Risk Category</w:t>
      </w:r>
    </w:p>
    <w:p>
      <w:pPr>
        <w:pStyle w:val="Heading2"/>
      </w:pPr>
      <w:r>
        <w:t xml:space="preserve">7.1 HIGH RISK (STEMI)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Activate cath lab immediately</w:t>
      </w:r>
      <w:r>
        <w:t xml:space="preserve"> for primary PCI</w:t>
      </w:r>
    </w:p>
    <w:p>
      <w:pPr>
        <w:pStyle w:val="ListParagraph"/>
        <w:numPr>
          <w:ilvl w:val="0"/>
          <w:numId w:val="2"/>
        </w:numPr>
      </w:pPr>
      <w:r>
        <w:t xml:space="preserve">If transfer &gt;120 min: Give fibrinolytic therapy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Aspirin: </w:t>
      </w:r>
      <w:r>
        <w:t xml:space="preserve">162-324 mg (chewable preferred)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P2Y12 inhibitor load: </w:t>
      </w:r>
      <w:r>
        <w:t xml:space="preserve">Clopidogrel 600 mg OR Prasugrel 60 mg OR Ticagrelor 180 mg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Anticoagulation: </w:t>
      </w:r>
      <w:r>
        <w:t xml:space="preserve">Enoxaparin 0.5-1 mg/kg OR UFH 60-70 IU/kg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Oxygen: </w:t>
      </w:r>
      <w:r>
        <w:t xml:space="preserve">Only if SpO2 &lt;90% (no routine benefit)</w:t>
      </w:r>
    </w:p>
    <w:p>
      <w:pPr>
        <w:pStyle w:val="Heading2"/>
      </w:pPr>
      <w:r>
        <w:t xml:space="preserve">7.2 HIGH RISK (NSTEMI)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Aspirin: </w:t>
      </w:r>
      <w:r>
        <w:t xml:space="preserve">81-324 mg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P2Y12 inhibitor: </w:t>
      </w:r>
      <w:r>
        <w:t xml:space="preserve">Clopidogrel 300-600 mg OR Ticagrelor 180 mg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Anticoagulation: </w:t>
      </w:r>
      <w:r>
        <w:t xml:space="preserve">Enoxaparin 1 mg/kg OR UFH 60-70 IU/kg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Early invasive strategy: </w:t>
      </w:r>
      <w:r>
        <w:t xml:space="preserve">For ongoing pain, dynamic ECG changes, hemodynamic instability, arrhythmias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Consider CMR: </w:t>
      </w:r>
      <w:r>
        <w:t xml:space="preserve">If ICA shows no obstructive stenosis but troponin elevated (MINOCA workup)</w:t>
      </w:r>
    </w:p>
    <w:p>
      <w:pPr>
        <w:pStyle w:val="Heading2"/>
      </w:pPr>
      <w:r>
        <w:t xml:space="preserve">7.3 INTERMEDIATE RISK</w:t>
      </w:r>
    </w:p>
    <w:p>
      <w:pPr>
        <w:pStyle w:val="ListParagraph"/>
        <w:numPr>
          <w:ilvl w:val="0"/>
          <w:numId w:val="2"/>
        </w:numPr>
      </w:pPr>
      <w:r>
        <w:t xml:space="preserve">hs-cTn between LOD and 99th percentile → repeat at 3-6h to confirm no rise/fall</w:t>
      </w:r>
    </w:p>
    <w:p>
      <w:pPr>
        <w:pStyle w:val="ListParagraph"/>
        <w:numPr>
          <w:ilvl w:val="0"/>
          <w:numId w:val="2"/>
        </w:numPr>
      </w:pPr>
      <w:r>
        <w:t xml:space="preserve">Risk score intermediate (HEART 4-6) → shared decision making for further testing</w:t>
      </w:r>
    </w:p>
    <w:p>
      <w:pPr>
        <w:pStyle w:val="ListParagraph"/>
        <w:numPr>
          <w:ilvl w:val="0"/>
          <w:numId w:val="2"/>
        </w:numPr>
      </w:pPr>
      <w:r>
        <w:t xml:space="preserve">Consider outpatient follow-up for further risk stratification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"High-normal" troponin: </w:t>
      </w:r>
      <w:r>
        <w:t xml:space="preserve">Even below 99th percentile, associated with higher CV event rates at 5 years</w:t>
      </w:r>
    </w:p>
    <w:p>
      <w:pPr>
        <w:pStyle w:val="Heading2"/>
      </w:pPr>
      <w:r>
        <w:t xml:space="preserve">7.4 LOW RISK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Safe for discharge </w:t>
      </w:r>
      <w:r>
        <w:t xml:space="preserve">after risk stratification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Routine stress testing NOT needed </w:t>
      </w:r>
      <w:r>
        <w:t xml:space="preserve">for &lt;1% risk of MACE at 30 days</w:t>
      </w:r>
    </w:p>
    <w:p>
      <w:pPr>
        <w:pStyle w:val="ListParagraph"/>
        <w:numPr>
          <w:ilvl w:val="0"/>
          <w:numId w:val="2"/>
        </w:numPr>
      </w:pPr>
      <w:r>
        <w:t xml:space="preserve">Focus on modifiable risk factors and ensure primary care follow-up</w:t>
      </w:r>
    </w:p>
    <w:p>
      <w:pPr>
        <w:pStyle w:val="Heading1"/>
      </w:pPr>
      <w:r>
        <w:t xml:space="preserve">8. Special Concepts</w:t>
      </w:r>
    </w:p>
    <w:p>
      <w:pPr>
        <w:pStyle w:val="Heading2"/>
      </w:pPr>
      <w:r>
        <w:t xml:space="preserve">8.1 Occlusion MI (OMI) vs STEMI Paradigm</w:t>
      </w:r>
    </w:p>
    <w:p>
      <w:pPr>
        <w:shd w:fill="E6F3FF" w:val="clear"/>
        <w:spacing w:before="100" w:after="100"/>
      </w:pPr>
      <w:r>
        <w:rPr>
          <w:b/>
          <w:bCs/>
        </w:rPr>
        <w:t xml:space="preserve">OMI = </w:t>
      </w:r>
      <w:r>
        <w:t xml:space="preserve">Type 1 MI with acute occlusion/near-occlusion of major epicardial vessel with insufficient collaterals → imminent necrosis without emergent reperfusion</w:t>
      </w:r>
    </w:p>
    <w:p>
      <w:pPr>
        <w:pStyle w:val="ListParagraph"/>
        <w:numPr>
          <w:ilvl w:val="0"/>
          <w:numId w:val="2"/>
        </w:numPr>
      </w:pPr>
      <w:r>
        <w:t xml:space="preserve">OMI is the pathophysiologic substrate of STEMI, but </w:t>
      </w:r>
      <w:r>
        <w:rPr>
          <w:b/>
          <w:bCs/>
        </w:rPr>
        <w:t xml:space="preserve">NOT all OMI manifests as STEMI</w:t>
      </w:r>
    </w:p>
    <w:p>
      <w:pPr>
        <w:pStyle w:val="ListParagraph"/>
        <w:numPr>
          <w:ilvl w:val="0"/>
          <w:numId w:val="2"/>
        </w:numPr>
      </w:pPr>
      <w:r>
        <w:t xml:space="preserve">Patients with OMI (without STEMI) have similar angiographic findings and mortality risk as STEMI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</w:rPr>
        <w:t xml:space="preserve">Problem: </w:t>
      </w:r>
      <w:r>
        <w:t xml:space="preserve">OMI without STEMI less likely to receive emergent cath (38% vs 71%)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Goal: </w:t>
      </w:r>
      <w:r>
        <w:t xml:space="preserve">Recognize ALL ECG patterns of OMI, not just classic STEMI criteria</w:t>
      </w:r>
    </w:p>
    <w:p>
      <w:pPr>
        <w:pStyle w:val="Heading2"/>
      </w:pPr>
      <w:r>
        <w:t xml:space="preserve">8.2 INOCA/MINOCA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INOCA: </w:t>
      </w:r>
      <w:r>
        <w:t xml:space="preserve">Ischemia with Non-Obstructive Coronary Arteries (chronic presentation)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MINOCA: </w:t>
      </w:r>
      <w:r>
        <w:t xml:space="preserve">Myocardial Infarction with Non-Obstructive Coronary Arteries (acute presentation)</w:t>
      </w:r>
    </w:p>
    <w:p>
      <w:pPr>
        <w:pStyle w:val="ListParagraph"/>
        <w:numPr>
          <w:ilvl w:val="0"/>
          <w:numId w:val="2"/>
        </w:numPr>
      </w:pPr>
      <w:r>
        <w:t xml:space="preserve">~50% of patients with suspected ACS have non-obstructive CAD on angiography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Causes: </w:t>
      </w:r>
      <w:r>
        <w:t xml:space="preserve">Coronary microvascular dysfunction, coronary vasospasm, spontaneous coronary artery dissection, coronary thromboembolism</w:t>
      </w:r>
    </w:p>
    <w:p>
      <w:pPr>
        <w:pStyle w:val="ListParagraph"/>
        <w:numPr>
          <w:ilvl w:val="0"/>
          <w:numId w:val="2"/>
        </w:numPr>
      </w:pPr>
      <w:r>
        <w:t xml:space="preserve">Associated with increased CV risk → requires ongoing management</w:t>
      </w:r>
    </w:p>
    <w:p>
      <w:pPr>
        <w:pStyle w:val="Heading2"/>
      </w:pPr>
      <w:r>
        <w:t xml:space="preserve">8.3 Sex Differences</w:t>
      </w:r>
    </w:p>
    <w:p>
      <w:pPr>
        <w:pStyle w:val="ListParagraph"/>
        <w:numPr>
          <w:ilvl w:val="0"/>
          <w:numId w:val="2"/>
        </w:numPr>
      </w:pPr>
      <w:r>
        <w:t xml:space="preserve">Women have </w:t>
      </w:r>
      <w:r>
        <w:rPr>
          <w:b/>
          <w:bCs/>
        </w:rPr>
        <w:t xml:space="preserve">longer symptom-to-presentation times</w:t>
      </w:r>
    </w:p>
    <w:p>
      <w:pPr>
        <w:pStyle w:val="ListParagraph"/>
        <w:numPr>
          <w:ilvl w:val="0"/>
          <w:numId w:val="2"/>
        </w:numPr>
      </w:pPr>
      <w:r>
        <w:t xml:space="preserve">Women are </w:t>
      </w:r>
      <w:r>
        <w:rPr>
          <w:b/>
          <w:bCs/>
        </w:rPr>
        <w:t xml:space="preserve">less likely to receive ECG, troponins, and urgent triage</w:t>
      </w:r>
    </w:p>
    <w:p>
      <w:pPr>
        <w:pStyle w:val="ListParagraph"/>
        <w:numPr>
          <w:ilvl w:val="0"/>
          <w:numId w:val="2"/>
        </w:numPr>
      </w:pPr>
      <w:r>
        <w:t xml:space="preserve">Women more likely to have: Non-obstructive CAD, microvascular angina, SCAD, Takotsubo</w:t>
      </w:r>
    </w:p>
    <w:p>
      <w:pPr>
        <w:pStyle w:val="ListParagraph"/>
        <w:numPr>
          <w:ilvl w:val="0"/>
          <w:numId w:val="2"/>
        </w:numPr>
      </w:pPr>
      <w:r>
        <w:t xml:space="preserve">Women have </w:t>
      </w:r>
      <w:r>
        <w:rPr>
          <w:b/>
          <w:bCs/>
          <w:color w:val="C00000"/>
        </w:rPr>
        <w:t xml:space="preserve">higher mortality (9.6% vs 5.3%)</w:t>
      </w:r>
      <w:r>
        <w:t xml:space="preserve"> after ACS presentation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Sex-specific troponin cutoffs: </w:t>
      </w:r>
      <w:r>
        <w:t xml:space="preserve">Women have lower 99th percentile values</w:t>
      </w:r>
    </w:p>
    <w:p>
      <w:pPr>
        <w:pStyle w:val="Heading2"/>
      </w:pPr>
      <w:r>
        <w:t xml:space="preserve">8.4 "Warranty Periods" for Prior Testing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Normal coronary angiogram: </w:t>
      </w:r>
      <w:r>
        <w:t xml:space="preserve">2 years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Normal stress test: </w:t>
      </w:r>
      <w:r>
        <w:t xml:space="preserve">1 year (if adequate stress achieved)</w:t>
      </w:r>
    </w:p>
    <w:p>
      <w:pPr>
        <w:pStyle w:val="Heading1"/>
      </w:pPr>
      <w:r>
        <w:t xml:space="preserve">9. Key Clinical Pearls for Case Development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Only 5% of ED chest pain is ACS: </w:t>
      </w:r>
      <w:r>
        <w:t xml:space="preserve">Most is non-cardiac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ECG within 10 minutes: </w:t>
      </w:r>
      <w:r>
        <w:t xml:space="preserve">Repeat if initially non-diagnostic but symptoms persist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STEMI criteria are sex-specific: </w:t>
      </w:r>
      <w:r>
        <w:t xml:space="preserve">Women have lower V2-V3 threshold (1.5 mm)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hs-cTn trades specificity for sensitivity: </w:t>
      </w:r>
      <w:r>
        <w:t xml:space="preserve">Many causes of elevated troponin beyond Type 1 MI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absolute delta at low troponin values: </w:t>
      </w:r>
      <w:r>
        <w:t xml:space="preserve">Not relative change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HEART ≤3 is LOW risk: </w:t>
      </w:r>
      <w:r>
        <w:t xml:space="preserve">Safe for discharge; routine testing NOT recommended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Low-risk patients don't need stress testing: </w:t>
      </w:r>
      <w:r>
        <w:t xml:space="preserve">Focus on risk factor modification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OMI ≠ STEMI: </w:t>
      </w:r>
      <w:r>
        <w:t xml:space="preserve">Some occlusion MIs don't meet STEMI criteria but need emergent reperfusion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Women are undertreated: </w:t>
      </w:r>
      <w:r>
        <w:t xml:space="preserve">Higher mortality despite less aggressive workup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Oxygen only if hypoxic: </w:t>
      </w:r>
      <w:r>
        <w:t xml:space="preserve">No benefit (and possible harm) in normoxic patients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CKD elevates troponin: </w:t>
      </w:r>
      <w:r>
        <w:t xml:space="preserve">1/3 with AKI have elevated hs-cTnT without MI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High-normal troponin matters: </w:t>
      </w:r>
      <w:r>
        <w:t xml:space="preserve">Even below 99th percentile, associated with increased 5-year events</w:t>
      </w:r>
    </w:p>
    <w:p>
      <w:pPr>
        <w:pStyle w:val="Heading1"/>
      </w:pPr>
      <w:r>
        <w:t xml:space="preserve">Source</w:t>
      </w:r>
    </w:p>
    <w:p>
      <w:pPr>
        <w:spacing w:after="60"/>
      </w:pPr>
      <w:r>
        <w:t xml:space="preserve">Bellolio F, Gottlieb M, Body R, Than MP, Hess EP. Evaluating patients with chest pain in the emergency department. </w:t>
      </w:r>
      <w:r>
        <w:rPr>
          <w:i/>
          <w:iCs/>
        </w:rPr>
        <w:t xml:space="preserve">BMJ</w:t>
      </w:r>
      <w:r>
        <w:t xml:space="preserve">. 2025;388:r136. doi:10.1136/bmj.r136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ReasonDx Clinical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5A8F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2025-12-21T17:28:04.935Z</dcterms:created>
  <dcterms:modified xsi:type="dcterms:W3CDTF">2025-12-21T17:28:04.936Z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