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874A6"/>
          <w:sz w:val="44"/>
          <w:szCs w:val="44"/>
        </w:rPr>
        <w:t xml:space="preserve">ReasonDx Virtual Hospital</w:t>
      </w:r>
    </w:p>
    <w:p>
      <w:pPr>
        <w:spacing w:after="60"/>
        <w:jc w:val="center"/>
      </w:pPr>
      <w:r>
        <w:rPr>
          <w:rFonts w:ascii="Arial" w:cs="Arial" w:eastAsia="Arial" w:hAnsi="Arial"/>
          <w:color w:val="1B2631"/>
          <w:sz w:val="32"/>
          <w:szCs w:val="32"/>
        </w:rPr>
        <w:t xml:space="preserve">Case Library Audit &amp; Gap Analysis</w:t>
      </w:r>
    </w:p>
    <w:p>
      <w:pPr>
        <w:pBdr>
          <w:bottom w:val="single" w:color="2874A6" w:sz="6" w:space="8"/>
        </w:pBdr>
        <w:spacing w:after="36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February 2026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This audit evaluates the Virtual Hospital case library against core clinical clerkship competencies, USMLE Step 2 CK content areas, and AAMC Core EPAs to identify gaps and prioritize the next wave of case development.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631"/>
          <w:sz w:val="20"/>
          <w:szCs w:val="20"/>
        </w:rPr>
        <w:t xml:space="preserve">Current state: </w:t>
      </w:r>
      <w:r>
        <w:rPr>
          <w:rFonts w:ascii="Arial" w:cs="Arial" w:eastAsia="Arial" w:hAnsi="Arial"/>
          <w:color w:val="1B2631"/>
          <w:sz w:val="20"/>
          <w:szCs w:val="20"/>
        </w:rPr>
        <w:t xml:space="preserve">The live platform has 15 presentations across both boards (7 ED, 8 Admitting) with 21 total diagnostic variants. The recent expansion package adds 3 truly new presentations (Back Pain, Allergic Reaction, AFib with RVR) plus variant enrichment to existing topics. Together, this brings the library to approximately 18 unique presentations.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2631"/>
          <w:sz w:val="20"/>
          <w:szCs w:val="20"/>
        </w:rPr>
        <w:t xml:space="preserve">Key finding: </w:t>
      </w:r>
      <w:r>
        <w:rPr>
          <w:rFonts w:ascii="Arial" w:cs="Arial" w:eastAsia="Arial" w:hAnsi="Arial"/>
          <w:color w:val="1B2631"/>
          <w:sz w:val="20"/>
          <w:szCs w:val="20"/>
        </w:rPr>
        <w:t xml:space="preserve">Core internal medicine and emergency medicine presentations are well-represented. However, significant gaps exist in surgery, OB/GYN, psychiatry, toxicology, pediatrics, and several medical subspecialties that are heavily tested on Step 2 CK and essential for clerkship readiness.</w:t>
      </w:r>
    </w:p>
    <w:p>
      <w:pPr>
        <w:pStyle w:val="Heading1"/>
      </w:pPr>
      <w:r>
        <w:t xml:space="preserve">Current Case Inventory</w:t>
      </w:r>
    </w:p>
    <w:p>
      <w:pPr>
        <w:pStyle w:val="Heading2"/>
      </w:pPr>
      <w:r>
        <w:t xml:space="preserve">ED Board (Live)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800"/>
        <w:gridCol w:w="1120"/>
        <w:gridCol w:w="180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Variant(s)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Acuity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Chest Pain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STEMI, Pericarditis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2, 3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Cardiovascular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Abdominal Pain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Appendicitis, Ruptured Ectopic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3, 1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GI / OB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Shortness of Breath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CHF Exacerbation, PE (Submassive)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2, 2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Pulm / CV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Headache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SAH, Bacterial Meningitis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1, 2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Neurologic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Altered Mental Status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Stroke (L MCA), Hypoglycemia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1, 2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Neuro / Endo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Syncope / Near-Syncope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VTach (Long QT), Vasovagal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2, 4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Cardiovascular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Fever / Weakness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Urosepsis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2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Infectious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7 presentations, 13 variants. Categories: Cardiovascular (3), Neurologic (2), GI (1), Pulmonary (1), Infectious (1), OB/GYN (variant only).</w:t>
      </w:r>
    </w:p>
    <w:p>
      <w:pPr>
        <w:pStyle w:val="Heading2"/>
      </w:pPr>
      <w:r>
        <w:t xml:space="preserve">Admitting Board (Live)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120"/>
        <w:gridCol w:w="180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Diagnosis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CHF Exacerbation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Acute Decompensated HF (HFrEF)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Cardiovascular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CAP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Community-Acquired Pneumonia + Sepsis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Pulmonary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DKA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Diabetic Ketoacidosis (Severe)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Endocrine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Upper GI Bleed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PUD-Related UGIB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GI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Acute Pancreatitis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Gallstone Pancreatitis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GI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COPD Exacerbation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Severe COPD Exacerbation (Infectious)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Pulmonary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Cellulitis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Cellulitis, Failed Outpatient Abx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Infectious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Acute Kidney Injury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Prerenal + NSAID-Induced AKI</w:t>
            </w:r>
          </w:p>
        </w:tc>
        <w:tc>
          <w:tcPr>
            <w:tcW w:type="dxa" w:w="1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Renal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8 cases. Categories: GI (2), Pulmonary (2), Cardiovascular (1), Endocrine (1), Infectious (1), Renal (1).</w:t>
      </w:r>
    </w:p>
    <w:p>
      <w:pPr>
        <w:pStyle w:val="Heading2"/>
      </w:pPr>
      <w:r>
        <w:t xml:space="preserve">Expansion Package (Pending Integration)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3200"/>
        <w:gridCol w:w="242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Board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Variant(s)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Back Pain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Cauda Equina, Nephrolithiasis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NEW — fills MSK gap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Allergic Reaction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Anaphylaxis (food-triggered)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NEW — fills Immuno gap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Syncope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PE (massive), Vasovagal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VARIANT ENRICHMENT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Fever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Urosepsis (elderly delirium)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VARIANT ENRICHMENT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Admitting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AFib with RVR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New-onset AFib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NEW — fills Cardio gap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Admitting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Pancreatitis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Alcohol-induced variant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VARIANT ENRICHMENT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Admitting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COPD Exacerbation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Hypercapnic resp failure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VARIANT ENRICHMENT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Admitting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Cellulitis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MRSA + early sepsis variant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VARIANT ENRICHMENT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Admitting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AKI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Triple whammy variant</w:t>
            </w:r>
          </w:p>
        </w:tc>
        <w:tc>
          <w:tcPr>
            <w:tcW w:type="dxa" w:w="24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6D7E"/>
                <w:sz w:val="18"/>
                <w:szCs w:val="18"/>
              </w:rPr>
              <w:t xml:space="preserve">VARIANT ENRICHMENT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Organ System Coverage Analysis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Each organ system is rated for coverage depth relative to its Step 2 CK and clerkship weight.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3000"/>
        <w:gridCol w:w="1200"/>
        <w:gridCol w:w="2620"/>
      </w:tblGrid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Cases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 Weight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Severity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Cardiovascular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Strong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STEMI, Pericarditis, CHF, PE, VTach, Vasovagal, AFib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High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Adequate for launch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Pulmonary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Moderate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CHF (pulm edema), COPD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High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F39C12"/>
                <w:sz w:val="18"/>
                <w:szCs w:val="18"/>
              </w:rPr>
              <w:t xml:space="preserve">Functional, needs expansion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GI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Strong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Appendicitis, GI Bleed, Pancreatitis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High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Adequate for launch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Neurologic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Strong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SAH, Meningitis, Stroke, Hypoglycemia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High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Adequate for launch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Infectious Disease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Moderate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Urosepsis, CAP, Cellulitis, Meningitis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High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F39C12"/>
                <w:sz w:val="18"/>
                <w:szCs w:val="18"/>
              </w:rPr>
              <w:t xml:space="preserve">Functional, needs expansion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Endocrine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Weak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DKA only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Moderate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Needs priority additions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Renal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Moderate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AKI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Moderate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F39C12"/>
                <w:sz w:val="18"/>
                <w:szCs w:val="18"/>
              </w:rPr>
              <w:t xml:space="preserve">Functional, needs expansion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MSK / Rheum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Weak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Back Pain (expansion only)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Moderate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Needs priority additions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Heme / Onc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Moderate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74C3C"/>
                <w:sz w:val="18"/>
                <w:szCs w:val="18"/>
              </w:rPr>
              <w:t xml:space="preserve">Critical gap — entire system missing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Psychiatry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High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74C3C"/>
                <w:sz w:val="18"/>
                <w:szCs w:val="18"/>
              </w:rPr>
              <w:t xml:space="preserve">Critical gap — entire system missing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OB/GYN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Minimal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Ruptured Ectopic (variant only)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High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74C3C"/>
                <w:sz w:val="18"/>
                <w:szCs w:val="18"/>
              </w:rPr>
              <w:t xml:space="preserve">Critical gap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Toxicology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Moderate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74C3C"/>
                <w:sz w:val="18"/>
                <w:szCs w:val="18"/>
              </w:rPr>
              <w:t xml:space="preserve">Critical gap — entire system missing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Surgery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Minimal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Appendicitis only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High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74C3C"/>
                <w:sz w:val="18"/>
                <w:szCs w:val="18"/>
              </w:rPr>
              <w:t xml:space="preserve">Critical gap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Pediatrics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High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74C3C"/>
                <w:sz w:val="18"/>
                <w:szCs w:val="18"/>
              </w:rPr>
              <w:t xml:space="preserve">Critical gap — entire system missing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Immunology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Minimal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Anaphylaxis (expansion only)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Low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F39C12"/>
                <w:sz w:val="18"/>
                <w:szCs w:val="18"/>
              </w:rPr>
              <w:t xml:space="preserve">Critical gap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Hepatology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Moderate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E74C3C"/>
                <w:sz w:val="18"/>
                <w:szCs w:val="18"/>
              </w:rPr>
              <w:t xml:space="preserve">Critical gap — entire system missing</w:t>
            </w:r>
          </w:p>
        </w:tc>
      </w:tr>
      <w:tr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Dermatology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2631"/>
                <w:sz w:val="18"/>
                <w:szCs w:val="18"/>
              </w:rPr>
              <w:t xml:space="preserve">Low</w:t>
            </w:r>
          </w:p>
        </w:tc>
        <w:tc>
          <w:tcPr>
            <w:tcW w:type="dxa" w:w="2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F39C12"/>
                <w:sz w:val="18"/>
                <w:szCs w:val="18"/>
              </w:rPr>
              <w:t xml:space="preserve">Critical gap — entire system missing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Clerkship Rotation Alignment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Medical students rotate through core clerkships. The platform should offer meaningful cases for each rotation.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400"/>
        <w:gridCol w:w="332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Gaps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Internal Medicine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12+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Extensive: CHF, COPD, CAP, DKA, AKI, Pancreatitis, AFib, GI Bleed, Cellulitis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Alcohol withdrawal, cirrhosis, hyponatremia, sickle cell, DVT management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Emergency Medicine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13+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Strong: STEMI, SAH, Stroke, PE, Meningitis, Urosepsis, Appendicitis, VTach, Anaphylaxis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Trauma, toxicology/OD, asthma exacerbation, procedural (intubation, chest tube)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Surgery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Appendicitis (+ ectopic if OB counts)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Bowel obstruction, cholecystitis, trauma, peritonitis, acute limb ischemia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OB/GYN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Ruptured ectopic (variant only)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Preeclampsia, postpartum hemorrhage, placental abruption, labor management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Psychiatry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None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Suicidal ideation assessment, acute psychosis, delirium (partial via urosepsis), substance use disorders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Pediatrics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0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None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Febrile seizure, croup/bronchiolitis, neonatal jaundice, pediatric dehydration/gastroenteritis, NAT screening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Neurology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Good: SAH, Meningitis, Stroke, Hypoglycemia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Seizure/status epilepticus, MS presentation, Guillain-Barré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Family Medicine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Mixed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Can borrow from IM/EM</w:t>
            </w:r>
          </w:p>
        </w:tc>
        <w:tc>
          <w:tcPr>
            <w:tcW w:type="dxa" w:w="33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Outpatient chronic disease management (not currently in scope)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Prioritized Recommendations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Cases are prioritized based on: (1) Step 2 CK testing frequency, (2) clerkship rotation coverage, (3) clinical reasoning teaching value, and (4) complexity fit for the platform. Each tier should be developed before moving to the next.</w:t>
      </w:r>
    </w:p>
    <w:p>
      <w:pPr>
        <w:pStyle w:val="Heading2"/>
      </w:pPr>
      <w:r>
        <w:t xml:space="preserve">Tier 1: Critical Gaps (Build Next)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B2631"/>
          <w:sz w:val="20"/>
          <w:szCs w:val="20"/>
        </w:rPr>
        <w:t xml:space="preserve">These cases fill the most impactful gaps in the library. They represent high-frequency, high-yield clinical scenarios that students will encounter on clerkship and Step 2 CK.</w:t>
      </w:r>
    </w:p>
    <w:p>
      <w:pPr>
        <w:pStyle w:val="Heading3"/>
      </w:pPr>
      <w:r>
        <w:t xml:space="preserve">1. Alcohol Withdrawal / Delirium Tremens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Admitting (could also start in 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Presentation: Agitation, tremor, tachycardia, hallucinations in patient 48-72 hours post-admission for another complaint (e.g., pancreatitis, trauma)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Why critical: Extremely common on inpatient medicine. Teaches CIWA scoring, benzodiazepine protocols, anticipation of complications (seizures, DTs). Also fills Psychiatry/Substance Use gap.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Variants: CIWA-managed withdrawal vs severe DT requiring ICU</w:t>
      </w:r>
    </w:p>
    <w:p>
      <w:pPr>
        <w:pStyle w:val="Heading3"/>
      </w:pPr>
      <w:r>
        <w:t xml:space="preserve">2. Acute Asthma Exacerbation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Presentation: Young adult with acute severe asthma, status asthmaticus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Why critical: Most common chronic disease in young adults, Step 2 staple. Currently no asthma case despite having COPD. Teaches stepwise severity assessment, NIPPV, intubation indications.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Variants: Moderate exacerbation (responds to nebs) vs status asthmaticus (impending respiratory failure)</w:t>
      </w:r>
    </w:p>
    <w:p>
      <w:pPr>
        <w:pStyle w:val="Heading3"/>
      </w:pPr>
      <w:r>
        <w:t xml:space="preserve">3. Small Bowel Obstruction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Admitting (surgical service)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Presentation: Nausea, vomiting, obstipation, distended abdomen, prior surgical history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Why critical: Core surgery clerkship case. Currently only appendicitis represents surgical pathology. Teaches adhesive vs non-adhesive causes, conservative vs operative management decision-making.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Variants: Partial SBO (conservative management) vs complete SBO with strangulation signs (emergent surgery)</w:t>
      </w:r>
    </w:p>
    <w:p>
      <w:pPr>
        <w:pStyle w:val="Heading3"/>
      </w:pPr>
      <w:r>
        <w:t xml:space="preserve">4. Suicidal Ideation / Psychiatric Emergency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Presentation: Patient presenting with SI, safety assessment, voluntary vs involuntary hold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Why critical: Fills the entire Psychiatry gap. Every medical student needs to learn safety assessment (Columbia Protocol), risk stratification, and involuntary hold criteria. Extremely high-yield for Step 2.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Variants: Active SI with plan (high risk, requires safety intervention) vs passive SI with protective factors (safety planning, outpatient referral)</w:t>
      </w:r>
    </w:p>
    <w:p>
      <w:pPr>
        <w:pStyle w:val="Heading3"/>
      </w:pPr>
      <w:r>
        <w:t xml:space="preserve">5. Preeclampsia / Eclampsia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ED or new OB Board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Presentation: Pregnant woman at 34 weeks with headache, elevated BP, proteinuria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Why critical: Fills the massive OB/GYN gap. Preeclampsia is the most-tested OB emergency on Step 2. Teaches magnesium sulfate protocol, delivery decision-making, HELLP recognition.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Variants: Preeclampsia with severe features vs eclamptic seizure</w:t>
      </w:r>
    </w:p>
    <w:p>
      <w:pPr>
        <w:pStyle w:val="Heading3"/>
      </w:pPr>
      <w:r>
        <w:t xml:space="preserve">6. Opioid Overdose / Toxicology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Presentation: Unresponsive patient found down, pinpoint pupils, respiratory depression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Why critical: Fills entire Toxicology gap. Opioid crisis makes this clinically urgent and high-yield. Teaches naloxone dosing, toxidrome recognition framework, and can be expanded to other toxidromes.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Variants: Opioid OD (responsive to naloxone) vs polysubstance ingestion (acetaminophen/opioid combination)</w:t>
      </w:r>
    </w:p>
    <w:p>
      <w:pPr>
        <w:pStyle w:val="Heading2"/>
      </w:pPr>
      <w:r>
        <w:t xml:space="preserve">Tier 2: High-Value Additions (Build After Tier 1)</w:t>
      </w:r>
    </w:p>
    <w:p>
      <w:pPr>
        <w:pStyle w:val="Heading3"/>
      </w:pPr>
      <w:r>
        <w:t xml:space="preserve">7. Cirrhosis / Hepatic Encephalopathy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Admitting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Fills: Hepatology gap. Chronic liver disease management, lactulose titration, SBP screening, variceal bleed prevention, MELD scoring.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Variants: HE from medication non-compliance vs new SBP trigger</w:t>
      </w:r>
    </w:p>
    <w:p>
      <w:pPr>
        <w:pStyle w:val="Heading3"/>
      </w:pPr>
      <w:r>
        <w:t xml:space="preserve">8. Acute Cholecystitis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ED (with surgery consult) or Admitting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Fills: Surgery gap. Murphy sign, RUQ ultrasound interpretation, Tokyo guidelines, timing of cholecystectomy.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Variants: Uncomplicated cholecystitis vs emphysematous cholecystitis in diabetic</w:t>
      </w:r>
    </w:p>
    <w:p>
      <w:pPr>
        <w:pStyle w:val="Heading3"/>
      </w:pPr>
      <w:r>
        <w:t xml:space="preserve">9. Sickle Cell Vaso-Occlusive Crisis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Admitting or 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Fills: Heme/Onc gap. Pain management in SCD, acute chest syndrome screening, exchange transfusion indications.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Variants: Uncomplicated VOC vs evolving acute chest syndrome</w:t>
      </w:r>
    </w:p>
    <w:p>
      <w:pPr>
        <w:pStyle w:val="Heading3"/>
      </w:pPr>
      <w:r>
        <w:t xml:space="preserve">10. Seizure / Status Epilepticus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Fills: Neurology gap. First-time seizure workup, benzodiazepine protocol, status epilepticus algorithm, metabolic vs structural causes.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Variants: First-time seizure (workup) vs status epilepticus (emergent management)</w:t>
      </w:r>
    </w:p>
    <w:p>
      <w:pPr>
        <w:pStyle w:val="Heading3"/>
      </w:pPr>
      <w:r>
        <w:t xml:space="preserve">11. Severe Hyponatremia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Admitting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Fills: Renal/electrolyte gap. Sodium correction rate, osmotic demyelination risk, SIADH vs volume depletion, hypertonic saline indications.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Variants: SIADH-related vs beer potomania vs thiazide-induced</w:t>
      </w:r>
    </w:p>
    <w:p>
      <w:pPr>
        <w:pStyle w:val="Heading3"/>
      </w:pPr>
      <w:r>
        <w:t xml:space="preserve">12. DVT with PE Decision-Making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Board: Admitting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Fills: Anticoagulation management gap. Wells scoring (DVT), compression US interpretation, anticoagulation selection (DOAC vs heparin bridge), duration decisions, provoked vs unprovoked.</w:t>
      </w:r>
    </w:p>
    <w:p>
      <w:pPr>
        <w:pStyle w:val="Heading2"/>
      </w:pPr>
      <w:r>
        <w:t xml:space="preserve">Tier 3: Specialty Depth (Longer-Term)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Pediatrics: </w:t>
      </w:r>
      <w:r>
        <w:rPr>
          <w:rFonts w:ascii="Arial" w:cs="Arial" w:eastAsia="Arial" w:hAnsi="Arial"/>
          <w:sz w:val="20"/>
          <w:szCs w:val="20"/>
        </w:rPr>
        <w:t xml:space="preserve">Febrile seizure / croup / bronchiolitis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Heme/Onc: </w:t>
      </w:r>
      <w:r>
        <w:rPr>
          <w:rFonts w:ascii="Arial" w:cs="Arial" w:eastAsia="Arial" w:hAnsi="Arial"/>
          <w:sz w:val="20"/>
          <w:szCs w:val="20"/>
        </w:rPr>
        <w:t xml:space="preserve">Neutropenic fever / TTP-HUS / oncologic emergency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Endocrine: </w:t>
      </w:r>
      <w:r>
        <w:rPr>
          <w:rFonts w:ascii="Arial" w:cs="Arial" w:eastAsia="Arial" w:hAnsi="Arial"/>
          <w:sz w:val="20"/>
          <w:szCs w:val="20"/>
        </w:rPr>
        <w:t xml:space="preserve">Thyroid storm / HHS / adrenal crisis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Rheumatology: </w:t>
      </w:r>
      <w:r>
        <w:rPr>
          <w:rFonts w:ascii="Arial" w:cs="Arial" w:eastAsia="Arial" w:hAnsi="Arial"/>
          <w:sz w:val="20"/>
          <w:szCs w:val="20"/>
        </w:rPr>
        <w:t xml:space="preserve">Septic arthritis / acute gout flare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Psychiatry: </w:t>
      </w:r>
      <w:r>
        <w:rPr>
          <w:rFonts w:ascii="Arial" w:cs="Arial" w:eastAsia="Arial" w:hAnsi="Arial"/>
          <w:sz w:val="20"/>
          <w:szCs w:val="20"/>
        </w:rPr>
        <w:t xml:space="preserve">Acute psychosis / substance-induced mania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OB/GYN: </w:t>
      </w:r>
      <w:r>
        <w:rPr>
          <w:rFonts w:ascii="Arial" w:cs="Arial" w:eastAsia="Arial" w:hAnsi="Arial"/>
          <w:sz w:val="20"/>
          <w:szCs w:val="20"/>
        </w:rPr>
        <w:t xml:space="preserve">Placental abruption / postpartum hemorrhage / labor &amp; delivery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Dermatology: </w:t>
      </w:r>
      <w:r>
        <w:rPr>
          <w:rFonts w:ascii="Arial" w:cs="Arial" w:eastAsia="Arial" w:hAnsi="Arial"/>
          <w:sz w:val="20"/>
          <w:szCs w:val="20"/>
        </w:rPr>
        <w:t xml:space="preserve">Stevens-Johnson Syndrome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Ophthalmology: </w:t>
      </w:r>
      <w:r>
        <w:rPr>
          <w:rFonts w:ascii="Arial" w:cs="Arial" w:eastAsia="Arial" w:hAnsi="Arial"/>
          <w:sz w:val="20"/>
          <w:szCs w:val="20"/>
        </w:rPr>
        <w:t xml:space="preserve">Acute angle-closure glaucoma / orbital cellulitis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ENT: </w:t>
      </w:r>
      <w:r>
        <w:rPr>
          <w:rFonts w:ascii="Arial" w:cs="Arial" w:eastAsia="Arial" w:hAnsi="Arial"/>
          <w:sz w:val="20"/>
          <w:szCs w:val="20"/>
        </w:rPr>
        <w:t xml:space="preserve">Peritonsillar abscess / Ludwig angina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Trauma/Ortho: </w:t>
      </w:r>
      <w:r>
        <w:rPr>
          <w:rFonts w:ascii="Arial" w:cs="Arial" w:eastAsia="Arial" w:hAnsi="Arial"/>
          <w:sz w:val="20"/>
          <w:szCs w:val="20"/>
        </w:rPr>
        <w:t xml:space="preserve">Falls / hip fracture in elderly / compartment syndrome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Neurology: </w:t>
      </w:r>
      <w:r>
        <w:rPr>
          <w:rFonts w:ascii="Arial" w:cs="Arial" w:eastAsia="Arial" w:hAnsi="Arial"/>
          <w:sz w:val="20"/>
          <w:szCs w:val="20"/>
        </w:rPr>
        <w:t xml:space="preserve">Guillain-Barré / myasthenia gravis crisis</w:t>
      </w:r>
    </w:p>
    <w:p>
      <w:r>
        <w:br w:type="page"/>
      </w:r>
    </w:p>
    <w:p>
      <w:pPr>
        <w:pStyle w:val="Heading1"/>
      </w:pPr>
      <w:r>
        <w:t xml:space="preserve">Structural Recommendations</w:t>
      </w:r>
    </w:p>
    <w:p>
      <w:pPr>
        <w:pStyle w:val="Heading2"/>
      </w:pPr>
      <w:r>
        <w:t xml:space="preserve">Variant Strategy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platform's biggest pedagogical strength is having multiple diagnoses present through the same chief complaint. This forces clinical reasoning rather than pattern matching. Prioritize adding a second variant to single-variant presentations: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Fever/Weakness: Add a non-infectious variant (e.g., adrenal crisis presenting as weakness + hypotension, or new leukemia with febrile neutropenia)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Back Pain (expansion): Already has two strong variants (CES + nephrolithiasis)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Allergic Reaction (expansion): Consider adding angioedema from ACE inhibitor (no urticaria, no epinephrine needed — different management, great teaching contrast)</w:t>
      </w:r>
    </w:p>
    <w:p>
      <w:pPr>
        <w:pStyle w:val="Heading2"/>
      </w:pPr>
      <w:r>
        <w:t xml:space="preserve">Difficulty Distribution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Nearly all current cases are difficulty 3/5. Consider expanding the range: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Add 1-2 difficulty 2 cases (straightforward presentations that build confidence early in clerkship)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0"/>
          <w:szCs w:val="20"/>
        </w:rPr>
        <w:t xml:space="preserve">Add 1-2 difficulty 5 cases (complex multi-system problems for advanced learners, e.g., cirrhosis with SBP + HRS + variceal bleed)</w:t>
      </w:r>
    </w:p>
    <w:p>
      <w:pPr>
        <w:pStyle w:val="Heading2"/>
      </w:pPr>
      <w:r>
        <w:t xml:space="preserve">Acuity Distribution (ED Board)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current ED board skews toward high-acuity (ESI 1-2) emergencies. Adding more ESI 3-4 presentations would give students practice with the bread-and-butter ED volume where clinical reasoning matters most — not every case needs to be a code.</w:t>
      </w:r>
    </w:p>
    <w:p>
      <w:pPr>
        <w:pStyle w:val="Heading2"/>
      </w:pPr>
      <w:r>
        <w:t xml:space="preserve">Board Expansion Considerations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Two additional boards could significantly expand the platform's scope: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Night-Float / </w:t>
      </w:r>
      <w:r>
        <w:rPr>
          <w:rFonts w:ascii="Arial" w:cs="Arial" w:eastAsia="Arial" w:hAnsi="Arial"/>
          <w:sz w:val="20"/>
          <w:szCs w:val="20"/>
        </w:rPr>
        <w:t xml:space="preserve">On-Call Board: Overnight medicine scenarios (new fever in a post-op patient, fall with head bleed on anticoagulation, acute transfusion reaction, rapid response calls). This is a massively under-taught area.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OB Triage Board: Pregnancy-specific presentations (preeclampsia, preterm labor, decreased fetal movement, PPROM). Would fill the OB/GYN gap without forcing these into the general ED board.</w:t>
      </w:r>
    </w:p>
    <w:p>
      <w:pPr>
        <w:pStyle w:val="Heading2"/>
      </w:pPr>
      <w:r>
        <w:t xml:space="preserve">Demographic Diversity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The current case library has reasonable age and gender diversity. Future cases should intentionally expand: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Age range: Add more young adult (18-25) and geriatric (80+)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Pregnancy: Beyond ectopic — preeclampsia, gestational diabetes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Pediatric patients: Separate board or integrated ED cases with age-appropriate vitals and norms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Social determinants: Cases where housing instability, insurance barriers, or language barriers affect clinical decision-making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0"/>
          <w:szCs w:val="20"/>
        </w:rPr>
        <w:t xml:space="preserve">LGBTQ+ health: Cases with gender-affirming hormone therapy considerations or inclusive history-taking</w:t>
      </w:r>
    </w:p>
    <w:p>
      <w:pPr>
        <w:pStyle w:val="Heading1"/>
      </w:pPr>
      <w:r>
        <w:t xml:space="preserve">Suggested Development Roadmap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3300"/>
        <w:gridCol w:w="282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Cases</w:t>
            </w:r>
          </w:p>
        </w:tc>
        <w:tc>
          <w:tcPr>
            <w:tcW w:type="dxa" w:w="2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Current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Complete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15 live + 9 expansion = 18 presentations</w:t>
            </w:r>
          </w:p>
        </w:tc>
        <w:tc>
          <w:tcPr>
            <w:tcW w:type="dxa" w:w="2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Core IM/EM coverage solid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Phase 1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Next sprint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Alcohol Withdrawal, Asthma, SBO, Psych Emergency, Preeclampsia, Opioid OD</w:t>
            </w:r>
          </w:p>
        </w:tc>
        <w:tc>
          <w:tcPr>
            <w:tcW w:type="dxa" w:w="2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+6 cases = 24 total. Fills Surgery, Psych, OB, Tox gaps.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Phase 2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Following sprint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Cirrhosis, Cholecystitis, Sickle Cell, Seizure, Hyponatremia, DVT</w:t>
            </w:r>
          </w:p>
        </w:tc>
        <w:tc>
          <w:tcPr>
            <w:tcW w:type="dxa" w:w="2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+6 cases = 30 total. Broad subspecialty depth.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631"/>
                <w:sz w:val="18"/>
                <w:szCs w:val="18"/>
              </w:rPr>
              <w:t xml:space="preserve">Phase 3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Ongoing</w:t>
            </w:r>
          </w:p>
        </w:tc>
        <w:tc>
          <w:tcPr>
            <w:tcW w:type="dxa" w:w="3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Pediatric cases, On-Call board, OB Triage board, Tier 3 specialties</w:t>
            </w:r>
          </w:p>
        </w:tc>
        <w:tc>
          <w:tcPr>
            <w:tcW w:type="dxa" w:w="28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631"/>
                <w:sz w:val="18"/>
                <w:szCs w:val="18"/>
              </w:rPr>
              <w:t xml:space="preserve">Full clerkship platform. 40+ cases across 4+ boards.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B2631"/>
          <w:sz w:val="20"/>
          <w:szCs w:val="20"/>
        </w:rPr>
        <w:t xml:space="preserve">Bottom line: </w:t>
      </w:r>
      <w:r>
        <w:rPr>
          <w:rFonts w:ascii="Arial" w:cs="Arial" w:eastAsia="Arial" w:hAnsi="Arial"/>
          <w:color w:val="1B2631"/>
          <w:sz w:val="20"/>
          <w:szCs w:val="20"/>
        </w:rPr>
        <w:t xml:space="preserve">The platform has a strong foundation in internal medicine and emergency medicine. The most impactful next step is Tier 1 (6 cases) which would eliminate the zero-coverage gaps in Psychiatry, Surgery, OB/GYN, and Toxicology while adding high-frequency presentations (asthma, alcohol withdrawal) that students see daily on clerkship.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63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874A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263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2026-02-22T16:12:13.534Z</dcterms:created>
  <dcterms:modified xsi:type="dcterms:W3CDTF">2026-02-22T16:12:13.535Z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