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874A6"/>
          <w:sz w:val="48"/>
          <w:szCs w:val="48"/>
        </w:rPr>
        <w:t xml:space="preserve">ReasonDx Virtual Hospital</w:t>
      </w:r>
    </w:p>
    <w:p>
      <w:pPr>
        <w:spacing w:after="80"/>
        <w:jc w:val="center"/>
      </w:pPr>
      <w:r>
        <w:rPr>
          <w:rFonts w:ascii="Arial" w:cs="Arial" w:eastAsia="Arial" w:hAnsi="Arial"/>
          <w:color w:val="1B2631"/>
          <w:sz w:val="36"/>
          <w:szCs w:val="36"/>
        </w:rPr>
        <w:t xml:space="preserve">Case Expansion Package</w:t>
      </w:r>
    </w:p>
    <w:p>
      <w:pPr>
        <w:pBdr>
          <w:bottom w:val="single" w:color="2874A6" w:sz="6" w:space="8"/>
        </w:pBdr>
        <w:spacing w:after="4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February 2026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package adds 8 new clinical cases to the Virtual Hospital, expanding the platform from 9 cases across 2 boards to 17 cases across both the ED Board and Admitting Board. Each new case includes full clinical data, AI patient personas, physical exam findings, diagnostics, teaching points, and attending-level questions.</w:t>
      </w:r>
    </w:p>
    <w:p>
      <w:pPr>
        <w:pStyle w:val="Heading2"/>
      </w:pPr>
      <w:r>
        <w:t xml:space="preserve">Expansion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Board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Cases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ED Board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5 presentations, 7 variants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9 presentations, 12 variants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+4 presentations, +5 variants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Admitting Board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4 cases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8 cases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+4 cases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9 presentations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17 presentations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+8 new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ED Board: New Cases</w:t>
      </w:r>
    </w:p>
    <w:p>
      <w:pPr>
        <w:spacing w:after="200"/>
      </w:pPr>
      <w:r>
        <w:t xml:space="preserve">Four new high-yield presentations added to the Emergency Department board, each with detailed patient personas, clinical data, and multiple teaching hooks.</w:t>
      </w:r>
    </w:p>
    <w:p>
      <w:pPr>
        <w:pStyle w:val="Heading2"/>
      </w:pPr>
      <w:r>
        <w:t xml:space="preserve">1. Syncope</w:t>
      </w:r>
    </w:p>
    <w:p>
      <w:pPr>
        <w:spacing w:after="60"/>
      </w:pPr>
      <w:r>
        <w:rPr>
          <w:b/>
          <w:bCs/>
        </w:rPr>
        <w:t xml:space="preserve">File: </w:t>
      </w:r>
      <w:r>
        <w:t xml:space="preserve">ed-cases/syncope.json</w:t>
      </w:r>
    </w:p>
    <w:p>
      <w:pPr>
        <w:spacing w:after="120"/>
      </w:pPr>
      <w:r>
        <w:rPr>
          <w:i/>
          <w:iCs/>
          <w:color w:val="5D6D7E"/>
        </w:rPr>
        <w:t xml:space="preserve">Category: Cardiovascular | Difficulty: 3/5 | Rotations: EM, Medicine</w:t>
      </w:r>
    </w:p>
    <w:p>
      <w:pPr>
        <w:pStyle w:val="Heading3"/>
      </w:pPr>
      <w:r>
        <w:t xml:space="preserve">Variant A: Acute Pulmonary Embolism</w:t>
      </w:r>
    </w:p>
    <w:p>
      <w:pPr>
        <w:pStyle w:val="ListParagraph"/>
        <w:numPr>
          <w:ilvl w:val="0"/>
          <w:numId w:val="2"/>
        </w:numPr>
      </w:pPr>
      <w:r>
        <w:t xml:space="preserve">Young woman who fainted at work, now with persistent dyspnea and tachycardia</w:t>
      </w:r>
    </w:p>
    <w:p>
      <w:pPr>
        <w:pStyle w:val="ListParagraph"/>
        <w:numPr>
          <w:ilvl w:val="0"/>
          <w:numId w:val="2"/>
        </w:numPr>
      </w:pPr>
      <w:r>
        <w:t xml:space="preserve">Key risk factors: OCP use, 10-hour transatlantic flight, sedentary job, family history of VTE</w:t>
      </w:r>
    </w:p>
    <w:p>
      <w:pPr>
        <w:pStyle w:val="ListParagraph"/>
        <w:numPr>
          <w:ilvl w:val="0"/>
          <w:numId w:val="2"/>
        </w:numPr>
      </w:pPr>
      <w:r>
        <w:t xml:space="preserve">Critical finding: unilateral calf swelling (students must examine the legs)</w:t>
      </w:r>
    </w:p>
    <w:p>
      <w:pPr>
        <w:pStyle w:val="ListParagraph"/>
        <w:numPr>
          <w:ilvl w:val="0"/>
          <w:numId w:val="2"/>
        </w:numPr>
      </w:pPr>
      <w:r>
        <w:t xml:space="preserve">ECG: S1Q3T3 with RV strain pattern</w:t>
      </w:r>
    </w:p>
    <w:p>
      <w:pPr>
        <w:pStyle w:val="ListParagraph"/>
        <w:numPr>
          <w:ilvl w:val="0"/>
          <w:numId w:val="2"/>
        </w:numPr>
      </w:pPr>
      <w:r>
        <w:t xml:space="preserve">CTPA: saddle embolus with RV dilation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Teaching focus: Wells criteria, massive vs submassive PE, thrombolysis decision-making</w:t>
      </w:r>
    </w:p>
    <w:p>
      <w:pPr>
        <w:pStyle w:val="Heading3"/>
      </w:pPr>
      <w:r>
        <w:t xml:space="preserve">Variant B: Vasovagal Syncope</w:t>
      </w:r>
    </w:p>
    <w:p>
      <w:pPr>
        <w:pStyle w:val="ListParagraph"/>
        <w:numPr>
          <w:ilvl w:val="0"/>
          <w:numId w:val="2"/>
        </w:numPr>
      </w:pPr>
      <w:r>
        <w:t xml:space="preserve">Young person fainted during blood donation with classic prodrome</w:t>
      </w:r>
    </w:p>
    <w:p>
      <w:pPr>
        <w:pStyle w:val="ListParagraph"/>
        <w:numPr>
          <w:ilvl w:val="0"/>
          <w:numId w:val="2"/>
        </w:numPr>
      </w:pPr>
      <w:r>
        <w:t xml:space="preserve">Normal vitals, normal ECG, rapid complete recovery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Teaching focus: syncope red flags, risk stratification, when to discharge safely</w:t>
      </w:r>
    </w:p>
    <w:p>
      <w:pPr>
        <w:pStyle w:val="Heading2"/>
      </w:pPr>
      <w:r>
        <w:t xml:space="preserve">2. Back Pain</w:t>
      </w:r>
    </w:p>
    <w:p>
      <w:pPr>
        <w:spacing w:after="60"/>
      </w:pPr>
      <w:r>
        <w:rPr>
          <w:b/>
          <w:bCs/>
        </w:rPr>
        <w:t xml:space="preserve">File: </w:t>
      </w:r>
      <w:r>
        <w:t xml:space="preserve">ed-cases/back-pain.json</w:t>
      </w:r>
    </w:p>
    <w:p>
      <w:pPr>
        <w:spacing w:after="120"/>
      </w:pPr>
      <w:r>
        <w:rPr>
          <w:i/>
          <w:iCs/>
          <w:color w:val="5D6D7E"/>
        </w:rPr>
        <w:t xml:space="preserve">Category: Musculoskeletal | Difficulty: 3/5 | Rotations: EM, Medicine, Surgery</w:t>
      </w:r>
    </w:p>
    <w:p>
      <w:pPr>
        <w:pStyle w:val="Heading3"/>
      </w:pPr>
      <w:r>
        <w:t xml:space="preserve">Variant A: Cauda Equina Syndrome</w:t>
      </w:r>
    </w:p>
    <w:p>
      <w:pPr>
        <w:pStyle w:val="ListParagraph"/>
        <w:numPr>
          <w:ilvl w:val="0"/>
          <w:numId w:val="2"/>
        </w:numPr>
      </w:pPr>
      <w:r>
        <w:t xml:space="preserve">Warehouse worker with progressive bilateral radiculopathy after heavy lifting</w:t>
      </w:r>
    </w:p>
    <w:p>
      <w:pPr>
        <w:pStyle w:val="ListParagraph"/>
        <w:numPr>
          <w:ilvl w:val="0"/>
          <w:numId w:val="2"/>
        </w:numPr>
      </w:pPr>
      <w:r>
        <w:t xml:space="preserve">Must-elicit findings: saddle anesthesia, urinary retention, decreased rectal tone</w:t>
      </w:r>
    </w:p>
    <w:p>
      <w:pPr>
        <w:pStyle w:val="ListParagraph"/>
        <w:numPr>
          <w:ilvl w:val="0"/>
          <w:numId w:val="2"/>
        </w:numPr>
      </w:pPr>
      <w:r>
        <w:t xml:space="preserve">Post-void residual 650mL; absent ankle reflexes bilaterally</w:t>
      </w:r>
    </w:p>
    <w:p>
      <w:pPr>
        <w:pStyle w:val="ListParagraph"/>
        <w:numPr>
          <w:ilvl w:val="0"/>
          <w:numId w:val="2"/>
        </w:numPr>
      </w:pPr>
      <w:r>
        <w:t xml:space="preserve">SURGICAL EMERGENCY: emergent MRI and neurosurgery consult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Teaching focus: red flags in back pain, exam findings students commonly miss (saddle numbness, rectal tone)</w:t>
      </w:r>
    </w:p>
    <w:p>
      <w:pPr>
        <w:pStyle w:val="Heading3"/>
      </w:pPr>
      <w:r>
        <w:t xml:space="preserve">Variant B: Acute Nephrolithiasis</w:t>
      </w:r>
    </w:p>
    <w:p>
      <w:pPr>
        <w:pStyle w:val="ListParagraph"/>
        <w:numPr>
          <w:ilvl w:val="0"/>
          <w:numId w:val="2"/>
        </w:numPr>
      </w:pPr>
      <w:r>
        <w:t xml:space="preserve">Classic colicky flank pain with restlessness, hematuria, and CVA tenderness</w:t>
      </w:r>
    </w:p>
    <w:p>
      <w:pPr>
        <w:pStyle w:val="ListParagraph"/>
        <w:numPr>
          <w:ilvl w:val="0"/>
          <w:numId w:val="2"/>
        </w:numPr>
      </w:pPr>
      <w:r>
        <w:t xml:space="preserve">Risk factors: dehydration, gout, high-protein diet, family history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Teaching focus: restlessness vs peritoneal stillness, CT stone protocol, must-not-miss AAA</w:t>
      </w:r>
    </w:p>
    <w:p>
      <w:pPr>
        <w:pStyle w:val="Heading2"/>
      </w:pPr>
      <w:r>
        <w:t xml:space="preserve">3. Allergic Reaction</w:t>
      </w:r>
    </w:p>
    <w:p>
      <w:pPr>
        <w:spacing w:after="60"/>
      </w:pPr>
      <w:r>
        <w:rPr>
          <w:b/>
          <w:bCs/>
        </w:rPr>
        <w:t xml:space="preserve">File: </w:t>
      </w:r>
      <w:r>
        <w:t xml:space="preserve">ed-cases/allergic-reaction.json</w:t>
      </w:r>
    </w:p>
    <w:p>
      <w:pPr>
        <w:spacing w:after="120"/>
      </w:pPr>
      <w:r>
        <w:rPr>
          <w:i/>
          <w:iCs/>
          <w:color w:val="5D6D7E"/>
        </w:rPr>
        <w:t xml:space="preserve">Category: Immunology | Difficulty: 3/5 | Rotations: EM, Medicine, Pediatrics</w:t>
      </w:r>
    </w:p>
    <w:p>
      <w:pPr>
        <w:pStyle w:val="Heading3"/>
      </w:pPr>
      <w:r>
        <w:t xml:space="preserve">Variant: Anaphylaxis (Food-Triggered)</w:t>
      </w:r>
    </w:p>
    <w:p>
      <w:pPr>
        <w:pStyle w:val="ListParagraph"/>
        <w:numPr>
          <w:ilvl w:val="0"/>
          <w:numId w:val="2"/>
        </w:numPr>
      </w:pPr>
      <w:r>
        <w:t xml:space="preserve">Acute multisystem reaction 20 minutes after shellfish ingestion</w:t>
      </w:r>
    </w:p>
    <w:p>
      <w:pPr>
        <w:pStyle w:val="ListParagraph"/>
        <w:numPr>
          <w:ilvl w:val="0"/>
          <w:numId w:val="2"/>
        </w:numPr>
      </w:pPr>
      <w:r>
        <w:t xml:space="preserve">Diffuse urticaria, angioedema, stridor, wheezing, and hypotension</w:t>
      </w:r>
    </w:p>
    <w:p>
      <w:pPr>
        <w:pStyle w:val="ListParagraph"/>
        <w:numPr>
          <w:ilvl w:val="0"/>
          <w:numId w:val="2"/>
        </w:numPr>
      </w:pPr>
      <w:r>
        <w:t xml:space="preserve">Patient has atopic history with prior mild reaction (progressive sensitization)</w:t>
      </w:r>
    </w:p>
    <w:p>
      <w:pPr>
        <w:pStyle w:val="ListParagraph"/>
        <w:numPr>
          <w:ilvl w:val="0"/>
          <w:numId w:val="2"/>
        </w:numPr>
      </w:pPr>
      <w:r>
        <w:t xml:space="preserve">Tests common pitfall: students giving antihistamines before epinephrine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Teaching focus: anaphylaxis diagnostic criteria, epinephrine as first-line, biphasic reactions, tryptase</w:t>
      </w:r>
    </w:p>
    <w:p>
      <w:pPr>
        <w:pStyle w:val="Heading2"/>
      </w:pPr>
      <w:r>
        <w:t xml:space="preserve">4. Fever</w:t>
      </w:r>
    </w:p>
    <w:p>
      <w:pPr>
        <w:spacing w:after="60"/>
      </w:pPr>
      <w:r>
        <w:rPr>
          <w:b/>
          <w:bCs/>
        </w:rPr>
        <w:t xml:space="preserve">File: </w:t>
      </w:r>
      <w:r>
        <w:t xml:space="preserve">ed-cases/fever.json</w:t>
      </w:r>
    </w:p>
    <w:p>
      <w:pPr>
        <w:spacing w:after="120"/>
      </w:pPr>
      <w:r>
        <w:rPr>
          <w:i/>
          <w:iCs/>
          <w:color w:val="5D6D7E"/>
        </w:rPr>
        <w:t xml:space="preserve">Category: Infectious | Difficulty: 3/5 | Rotations: EM, Medicine</w:t>
      </w:r>
    </w:p>
    <w:p>
      <w:pPr>
        <w:pStyle w:val="Heading3"/>
      </w:pPr>
      <w:r>
        <w:t xml:space="preserve">Variant: Urosepsis (Elderly with Delirium)</w:t>
      </w:r>
    </w:p>
    <w:p>
      <w:pPr>
        <w:pStyle w:val="ListParagraph"/>
        <w:numPr>
          <w:ilvl w:val="0"/>
          <w:numId w:val="2"/>
        </w:numPr>
      </w:pPr>
      <w:r>
        <w:t xml:space="preserve">78-year-old woman with acute confusion as primary presenting symptom</w:t>
      </w:r>
    </w:p>
    <w:p>
      <w:pPr>
        <w:pStyle w:val="ListParagraph"/>
        <w:numPr>
          <w:ilvl w:val="0"/>
          <w:numId w:val="2"/>
        </w:numPr>
      </w:pPr>
      <w:r>
        <w:t xml:space="preserve">Daughter provides collateral history (patient is poor historian due to delirium)</w:t>
      </w:r>
    </w:p>
    <w:p>
      <w:pPr>
        <w:pStyle w:val="ListParagraph"/>
        <w:numPr>
          <w:ilvl w:val="0"/>
          <w:numId w:val="2"/>
        </w:numPr>
      </w:pPr>
      <w:r>
        <w:t xml:space="preserve">Key findings: hypotension, tachycardia, elevated lactate, pyuria, CT showing pyelonephritis</w:t>
      </w:r>
    </w:p>
    <w:p>
      <w:pPr>
        <w:pStyle w:val="ListParagraph"/>
        <w:numPr>
          <w:ilvl w:val="0"/>
          <w:numId w:val="2"/>
        </w:numPr>
      </w:pPr>
      <w:r>
        <w:t xml:space="preserve">Diabetes as major risk factor for complicated UTI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Teaching focus: Sepsis-3 criteria, Hour-1 bundle, delirium in elderly, collateral history</w:t>
      </w:r>
    </w:p>
    <w:p>
      <w:r>
        <w:br w:type="page"/>
      </w:r>
    </w:p>
    <w:p>
      <w:pPr>
        <w:pStyle w:val="Heading1"/>
      </w:pPr>
      <w:r>
        <w:t xml:space="preserve">Admitting Board: New Cases</w:t>
      </w:r>
    </w:p>
    <w:p>
      <w:pPr>
        <w:spacing w:after="200"/>
      </w:pPr>
      <w:r>
        <w:t xml:space="preserve">Four new internal medicine admissions, each with an ED handoff, detailed clinical data, admitting order frameworks, and attending-level teaching questions.</w:t>
      </w:r>
    </w:p>
    <w:p>
      <w:pPr>
        <w:pStyle w:val="Heading2"/>
      </w:pPr>
      <w:r>
        <w:t xml:space="preserve">5. Acute Pancreatitis</w:t>
      </w:r>
    </w:p>
    <w:p>
      <w:pPr>
        <w:spacing w:after="60"/>
      </w:pPr>
      <w:r>
        <w:rPr>
          <w:b/>
          <w:bCs/>
        </w:rPr>
        <w:t xml:space="preserve">File: </w:t>
      </w:r>
      <w:r>
        <w:t xml:space="preserve">admitting-cases/acute-pancreatitis.json</w:t>
      </w:r>
    </w:p>
    <w:p>
      <w:pPr>
        <w:pStyle w:val="ListParagraph"/>
        <w:numPr>
          <w:ilvl w:val="0"/>
          <w:numId w:val="2"/>
        </w:numPr>
      </w:pPr>
      <w:r>
        <w:t xml:space="preserve">42-year-old male with alcohol-induced pancreatitis after bachelor party binge</w:t>
      </w:r>
    </w:p>
    <w:p>
      <w:pPr>
        <w:pStyle w:val="ListParagraph"/>
        <w:numPr>
          <w:ilvl w:val="0"/>
          <w:numId w:val="2"/>
        </w:numPr>
      </w:pPr>
      <w:r>
        <w:t xml:space="preserve">Lipase 1,840; CT shows interstitial pancreatitis without necrosis</w:t>
      </w:r>
    </w:p>
    <w:p>
      <w:pPr>
        <w:pStyle w:val="ListParagraph"/>
        <w:numPr>
          <w:ilvl w:val="0"/>
          <w:numId w:val="2"/>
        </w:numPr>
      </w:pPr>
      <w:r>
        <w:t xml:space="preserve">BISAP score 2 (BUN elevated, pleural effusion)</w:t>
      </w:r>
    </w:p>
    <w:p>
      <w:pPr>
        <w:pStyle w:val="ListParagraph"/>
        <w:numPr>
          <w:ilvl w:val="0"/>
          <w:numId w:val="2"/>
        </w:numPr>
      </w:pPr>
      <w:r>
        <w:t xml:space="preserve">Order framework: LR resuscitation (goal-directed), early feeding, pain management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Teaching focus: severity scoring, fluid strategy, early nutrition, alcohol counseling</w:t>
      </w:r>
    </w:p>
    <w:p>
      <w:pPr>
        <w:pStyle w:val="Heading2"/>
      </w:pPr>
      <w:r>
        <w:t xml:space="preserve">6. COPD Exacerbation</w:t>
      </w:r>
    </w:p>
    <w:p>
      <w:pPr>
        <w:spacing w:after="60"/>
      </w:pPr>
      <w:r>
        <w:rPr>
          <w:b/>
          <w:bCs/>
        </w:rPr>
        <w:t xml:space="preserve">File: </w:t>
      </w:r>
      <w:r>
        <w:t xml:space="preserve">admitting-cases/copd-exacerbation.json</w:t>
      </w:r>
    </w:p>
    <w:p>
      <w:pPr>
        <w:pStyle w:val="ListParagraph"/>
        <w:numPr>
          <w:ilvl w:val="0"/>
          <w:numId w:val="2"/>
        </w:numPr>
      </w:pPr>
      <w:r>
        <w:t xml:space="preserve">68-year-old woman with severe COPD (FEV1 35%), home O2, acute-on-chronic hypercapnic respiratory failure</w:t>
      </w:r>
    </w:p>
    <w:p>
      <w:pPr>
        <w:pStyle w:val="ListParagraph"/>
        <w:numPr>
          <w:ilvl w:val="0"/>
          <w:numId w:val="2"/>
        </w:numPr>
      </w:pPr>
      <w:r>
        <w:t xml:space="preserve">ABG: pH 7.32, pCO2 58, HCO3 30 (acute-on-chronic respiratory acidosis)</w:t>
      </w:r>
    </w:p>
    <w:p>
      <w:pPr>
        <w:pStyle w:val="ListParagraph"/>
        <w:numPr>
          <w:ilvl w:val="0"/>
          <w:numId w:val="2"/>
        </w:numPr>
      </w:pPr>
      <w:r>
        <w:t xml:space="preserve">Anthonisen criteria met: all 3 cardinal symptoms present</w:t>
      </w:r>
    </w:p>
    <w:p>
      <w:pPr>
        <w:pStyle w:val="ListParagraph"/>
        <w:numPr>
          <w:ilvl w:val="0"/>
          <w:numId w:val="2"/>
        </w:numPr>
      </w:pPr>
      <w:r>
        <w:t xml:space="preserve">Order framework: BiPAP, duonebs, 5-day steroids (REDUCE trial), azithromycin, O2 target 88-92%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Teaching focus: ABG interpretation (acute vs chronic), BiPAP criteria, oxygen dangers, goals of care</w:t>
      </w:r>
    </w:p>
    <w:p>
      <w:pPr>
        <w:pStyle w:val="Heading2"/>
      </w:pPr>
      <w:r>
        <w:t xml:space="preserve">7. Acute Kidney Injury</w:t>
      </w:r>
    </w:p>
    <w:p>
      <w:pPr>
        <w:spacing w:after="60"/>
      </w:pPr>
      <w:r>
        <w:rPr>
          <w:b/>
          <w:bCs/>
        </w:rPr>
        <w:t xml:space="preserve">File: </w:t>
      </w:r>
      <w:r>
        <w:t xml:space="preserve">admitting-cases/acute-kidney-injury.json</w:t>
      </w:r>
    </w:p>
    <w:p>
      <w:pPr>
        <w:pStyle w:val="ListParagraph"/>
        <w:numPr>
          <w:ilvl w:val="0"/>
          <w:numId w:val="2"/>
        </w:numPr>
      </w:pPr>
      <w:r>
        <w:t xml:space="preserve">71-year-old male with CKD Stage 3 (baseline Cr 1.6) now presenting with Cr 4.8 and hyperkalemia (K 5.8)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triple whammy: </w:t>
      </w:r>
      <w:r>
        <w:t xml:space="preserve">ACEi + NSAID + volume depletion = catastrophic GFR drop</w:t>
      </w:r>
    </w:p>
    <w:p>
      <w:pPr>
        <w:pStyle w:val="ListParagraph"/>
        <w:numPr>
          <w:ilvl w:val="0"/>
          <w:numId w:val="2"/>
        </w:numPr>
      </w:pPr>
      <w:r>
        <w:t xml:space="preserve">Urine studies: FeNa 0.6%, hyaline + granular casts (prerenal with early ATN)</w:t>
      </w:r>
    </w:p>
    <w:p>
      <w:pPr>
        <w:pStyle w:val="ListParagraph"/>
        <w:numPr>
          <w:ilvl w:val="0"/>
          <w:numId w:val="2"/>
        </w:numPr>
      </w:pPr>
      <w:r>
        <w:t xml:space="preserve">Order framework: stop nephrotoxins (NSAID, ACEi, metformin), IV fluids, hyperkalemia protocol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Teaching focus: AKI classification, medication review, urine microscopy, dialysis indications (AEIOU)</w:t>
      </w:r>
    </w:p>
    <w:p>
      <w:pPr>
        <w:pStyle w:val="Heading2"/>
      </w:pPr>
      <w:r>
        <w:t xml:space="preserve">8. Cellulitis with Sepsis</w:t>
      </w:r>
    </w:p>
    <w:p>
      <w:pPr>
        <w:spacing w:after="60"/>
      </w:pPr>
      <w:r>
        <w:rPr>
          <w:b/>
          <w:bCs/>
        </w:rPr>
        <w:t xml:space="preserve">File: </w:t>
      </w:r>
      <w:r>
        <w:t xml:space="preserve">admitting-cases/cellulitis-sepsis.json</w:t>
      </w:r>
    </w:p>
    <w:p>
      <w:pPr>
        <w:pStyle w:val="ListParagraph"/>
        <w:numPr>
          <w:ilvl w:val="0"/>
          <w:numId w:val="2"/>
        </w:numPr>
      </w:pPr>
      <w:r>
        <w:t xml:space="preserve">55-year-old male with poorly controlled DM2 (A1c 9.2%), obesity, and prior MRSA infection</w:t>
      </w:r>
    </w:p>
    <w:p>
      <w:pPr>
        <w:pStyle w:val="ListParagraph"/>
        <w:numPr>
          <w:ilvl w:val="0"/>
          <w:numId w:val="2"/>
        </w:numPr>
      </w:pPr>
      <w:r>
        <w:t xml:space="preserve">Progressive left lower extremity cellulitis from lawn injury with lymphangitis and early sepsis (lactate 2.4)</w:t>
      </w:r>
    </w:p>
    <w:p>
      <w:pPr>
        <w:pStyle w:val="ListParagraph"/>
        <w:numPr>
          <w:ilvl w:val="0"/>
          <w:numId w:val="2"/>
        </w:numPr>
      </w:pPr>
      <w:r>
        <w:t xml:space="preserve">Purulent drainage with MRSA risk factors; penicillin allergy (childhood urticaria)</w:t>
      </w:r>
    </w:p>
    <w:p>
      <w:pPr>
        <w:pStyle w:val="ListParagraph"/>
        <w:numPr>
          <w:ilvl w:val="0"/>
          <w:numId w:val="2"/>
        </w:numPr>
      </w:pPr>
      <w:r>
        <w:t xml:space="preserve">Order framework: vancomycin + possible pip-tazo, daily border checks, insulin management, wound care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Teaching focus: purulent vs non-purulent coverage, border marking, necrotizing fasciitis red flags, DM management</w:t>
      </w:r>
    </w:p>
    <w:p>
      <w:r>
        <w:br w:type="page"/>
      </w:r>
    </w:p>
    <w:p>
      <w:pPr>
        <w:pStyle w:val="Heading1"/>
      </w:pPr>
      <w:r>
        <w:t xml:space="preserve">Organ System Coverage</w:t>
      </w:r>
    </w:p>
    <w:p>
      <w:pPr>
        <w:spacing w:after="200"/>
      </w:pPr>
      <w:r>
        <w:t xml:space="preserve">The expanded case library now covers the following systems: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 Board Cases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Admitting Board Cases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Cardiovascular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Chest Pain (STEMI, Pericarditis), Syncope (PE, Vasovagal)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CHF Exacerbation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Pulmonary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Shortness of Breath (CHF)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COPD Exacerbation, CAP with Sepsis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Gastrointestinal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Abdominal Pain (Appendicitis)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Upper GI Bleed, Acute Pancreatitis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Neurologic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Headache (SAH, Meningitis), AMS (Stroke)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Musculoskeletal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Back Pain (Cauda Equina, Nephrolithiasis)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Infectious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Fever (Urosepsis)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Cellulitis with Sepsis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Immunology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Allergic Reaction (Anaphylaxis)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Renal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Acute Kidney Injury, DKA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Endocrine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DKA (existing)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Integration Instructions</w:t>
      </w:r>
    </w:p>
    <w:p>
      <w:pPr>
        <w:pStyle w:val="Heading2"/>
      </w:pPr>
      <w:r>
        <w:t xml:space="preserve">File Structure</w:t>
      </w:r>
    </w:p>
    <w:p>
      <w:pPr>
        <w:spacing w:after="200"/>
      </w:pPr>
      <w:r>
        <w:t xml:space="preserve">All new cases are delivered as standalone JSON files following the established case template schema (case-template-schema.json). They can be integrated into the existing board components by importing the JSON data into the inline case arrays.</w:t>
      </w:r>
    </w:p>
    <w:p>
      <w:pPr>
        <w:pStyle w:val="Heading2"/>
      </w:pPr>
      <w:r>
        <w:t xml:space="preserve">For the ED Board (ed-board.jsx)</w:t>
      </w:r>
    </w:p>
    <w:p>
      <w:pPr>
        <w:pStyle w:val="ListParagraph"/>
        <w:numPr>
          <w:ilvl w:val="0"/>
          <w:numId w:val="3"/>
        </w:numPr>
      </w:pPr>
      <w:r>
        <w:t xml:space="preserve">Open src/ed-board.jsx</w:t>
      </w:r>
    </w:p>
    <w:p>
      <w:pPr>
        <w:pStyle w:val="ListParagraph"/>
        <w:numPr>
          <w:ilvl w:val="0"/>
          <w:numId w:val="3"/>
        </w:numPr>
      </w:pPr>
      <w:r>
        <w:t xml:space="preserve">Locate the CASES array (starts at approximately line 4)</w:t>
      </w:r>
    </w:p>
    <w:p>
      <w:pPr>
        <w:pStyle w:val="ListParagraph"/>
        <w:numPr>
          <w:ilvl w:val="0"/>
          <w:numId w:val="3"/>
        </w:numPr>
      </w:pPr>
      <w:r>
        <w:t xml:space="preserve">Add the new case objects from the JSON files into the array, following the existing format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The ED board component auto-generates the presentation selector from the CASES array</w:t>
      </w:r>
    </w:p>
    <w:p>
      <w:pPr>
        <w:pStyle w:val="Heading2"/>
      </w:pPr>
      <w:r>
        <w:t xml:space="preserve">For the Admitting Board (admitting-board.jsx)</w:t>
      </w:r>
    </w:p>
    <w:p>
      <w:pPr>
        <w:pStyle w:val="ListParagraph"/>
        <w:numPr>
          <w:ilvl w:val="0"/>
          <w:numId w:val="3"/>
        </w:numPr>
      </w:pPr>
      <w:r>
        <w:t xml:space="preserve">Open src/admitting-board.jsx</w:t>
      </w:r>
    </w:p>
    <w:p>
      <w:pPr>
        <w:pStyle w:val="ListParagraph"/>
        <w:numPr>
          <w:ilvl w:val="0"/>
          <w:numId w:val="3"/>
        </w:numPr>
      </w:pPr>
      <w:r>
        <w:t xml:space="preserve">Locate the TEMPLATES array (starts at approximately line 15)</w:t>
      </w:r>
    </w:p>
    <w:p>
      <w:pPr>
        <w:pStyle w:val="ListParagraph"/>
        <w:numPr>
          <w:ilvl w:val="0"/>
          <w:numId w:val="3"/>
        </w:numPr>
      </w:pPr>
      <w:r>
        <w:t xml:space="preserve">Add the new case objects, including the edHandoff and admittingOrders sections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The admitting board auto-generates the presentation menu from the TEMPLATES array</w:t>
      </w:r>
    </w:p>
    <w:p>
      <w:pPr>
        <w:pStyle w:val="Heading2"/>
      </w:pPr>
      <w:r>
        <w:t xml:space="preserve">As External JSON Files (Alternative)</w:t>
      </w:r>
    </w:p>
    <w:p>
      <w:pPr>
        <w:spacing w:after="120"/>
      </w:pPr>
      <w:r>
        <w:t xml:space="preserve">Alternatively, the cases can remain as external JSON files in src/data/cases/ and be imported dynamically. This approach is recommended for long-term scalability:</w:t>
      </w:r>
    </w:p>
    <w:p>
      <w:pPr>
        <w:pStyle w:val="ListParagraph"/>
        <w:numPr>
          <w:ilvl w:val="0"/>
          <w:numId w:val="2"/>
        </w:numPr>
      </w:pPr>
      <w:r>
        <w:t xml:space="preserve">Place all JSON files in src/data/cases/</w:t>
      </w:r>
    </w:p>
    <w:p>
      <w:pPr>
        <w:pStyle w:val="ListParagraph"/>
        <w:numPr>
          <w:ilvl w:val="0"/>
          <w:numId w:val="2"/>
        </w:numPr>
      </w:pPr>
      <w:r>
        <w:t xml:space="preserve">Create an index.js that imports and exports all cases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Update board components to reference the imported cases instead of inline arrays</w:t>
      </w:r>
    </w:p>
    <w:p>
      <w:pPr>
        <w:pStyle w:val="Heading1"/>
      </w:pPr>
      <w:r>
        <w:t xml:space="preserve">Evidence Base</w:t>
      </w:r>
    </w:p>
    <w:p>
      <w:pPr>
        <w:spacing w:after="200"/>
      </w:pPr>
      <w:r>
        <w:t xml:space="preserve">All clinical content is derived from open-access, peer-reviewed sources consistent with the ReasonDx open-access-only policy: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StatPearls (NCBI Bookshelf)</w:t>
      </w:r>
      <w:r>
        <w:t xml:space="preserve"> — Primary reference for clinical presentations, differentials, and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AHA/ACC Guidelines</w:t>
      </w:r>
      <w:r>
        <w:t xml:space="preserve"> — Chest pain evaluation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 Report</w:t>
      </w:r>
      <w:r>
        <w:t xml:space="preserve"> — COPD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AGA Guidelines</w:t>
      </w:r>
      <w:r>
        <w:t xml:space="preserve"> — Acute pancreatitis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IDSA Guidelines</w:t>
      </w:r>
      <w:r>
        <w:t xml:space="preserve"> — Skin and soft tissue infections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WAO Anaphylaxis Guidance</w:t>
      </w:r>
      <w:r>
        <w:t xml:space="preserve"> — Anaphylaxis diagnostic criteria and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KDIGO Guidelines</w:t>
      </w:r>
      <w:r>
        <w:t xml:space="preserve"> — AKI staging and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Surviving Sepsis Campaign</w:t>
      </w:r>
      <w:r>
        <w:t xml:space="preserve"> — Sepsis bundles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874A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63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2026-02-22T15:09:47.684Z</dcterms:created>
  <dcterms:modified xsi:type="dcterms:W3CDTF">2026-02-22T15:09:47.689Z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