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874A6"/>
          <w:sz w:val="40"/>
          <w:szCs w:val="40"/>
        </w:rPr>
        <w:t xml:space="preserve">ReasonDx Changelog</w:t>
      </w:r>
    </w:p>
    <w:p>
      <w:pPr>
        <w:spacing w:after="400"/>
        <w:jc w:val="center"/>
      </w:pPr>
      <w:r>
        <w:rPr>
          <w:rFonts w:ascii="Arial" w:cs="Arial" w:eastAsia="Arial" w:hAnsi="Arial"/>
          <w:color w:val="666666"/>
          <w:sz w:val="24"/>
          <w:szCs w:val="24"/>
        </w:rPr>
        <w:t xml:space="preserve">February 24, 2026</w:t>
      </w:r>
    </w:p>
    <w:p>
      <w:pPr>
        <w:pStyle w:val="Heading1"/>
      </w:pPr>
      <w:r>
        <w:t xml:space="preserve">Session 1: Clinical Journey Priorities</w:t>
      </w:r>
    </w:p>
    <w:p>
      <w:pPr>
        <w:pStyle w:val="Heading2"/>
      </w:pPr>
      <w:r>
        <w:t xml:space="preserve">Night Float Collision Fix</w:t>
      </w:r>
    </w:p>
    <w:p>
      <w:pPr>
        <w:pStyle w:val="ListParagraph"/>
        <w:numPr>
          <w:ilvl w:val="0"/>
          <w:numId w:val="2"/>
        </w:numPr>
      </w:pPr>
      <w:r>
        <w:t xml:space="preserve">Fixed bed-collision bug allowing duplicate patient assignments in night-float.html</w:t>
      </w:r>
    </w:p>
    <w:p>
      <w:pPr>
        <w:pStyle w:val="ListParagraph"/>
        <w:numPr>
          <w:ilvl w:val="0"/>
          <w:numId w:val="2"/>
        </w:numPr>
      </w:pPr>
      <w:r>
        <w:t xml:space="preserve">Added occupied-bed tracking and automatic reassignment to next available bed</w:t>
      </w:r>
    </w:p>
    <w:p>
      <w:pPr>
        <w:pStyle w:val="Heading2"/>
      </w:pPr>
      <w:r>
        <w:t xml:space="preserve">NSTEMI &amp; COPD Cases Added to ED Board</w:t>
      </w:r>
    </w:p>
    <w:p>
      <w:pPr>
        <w:pStyle w:val="ListParagraph"/>
        <w:numPr>
          <w:ilvl w:val="0"/>
          <w:numId w:val="2"/>
        </w:numPr>
      </w:pPr>
      <w:r>
        <w:t xml:space="preserve">Added NSTEMI case with full treatment module (10 orders) to ed-board-v2.html</w:t>
      </w:r>
    </w:p>
    <w:p>
      <w:pPr>
        <w:pStyle w:val="ListParagraph"/>
        <w:numPr>
          <w:ilvl w:val="0"/>
          <w:numId w:val="2"/>
        </w:numPr>
      </w:pPr>
      <w:r>
        <w:t xml:space="preserve">Added COPD Exacerbation case with full treatment module (10 orders) to ed-board-v2.html</w:t>
      </w:r>
    </w:p>
    <w:p>
      <w:pPr>
        <w:pStyle w:val="ListParagraph"/>
        <w:numPr>
          <w:ilvl w:val="0"/>
          <w:numId w:val="2"/>
        </w:numPr>
      </w:pPr>
      <w:r>
        <w:t xml:space="preserve">Both cases include correct treatments, harm orders, phases, and pitfalls</w:t>
      </w:r>
    </w:p>
    <w:p>
      <w:pPr>
        <w:pStyle w:val="Heading2"/>
      </w:pPr>
      <w:r>
        <w:t xml:space="preserve">Eclampsia Removed from Gen Med Flow</w:t>
      </w:r>
    </w:p>
    <w:p>
      <w:pPr>
        <w:pStyle w:val="ListParagraph"/>
        <w:numPr>
          <w:ilvl w:val="0"/>
          <w:numId w:val="2"/>
        </w:numPr>
      </w:pPr>
      <w:r>
        <w:t xml:space="preserve">Removed eclampsia from general medicine rotation (belongs in OB/GYN only)</w:t>
      </w:r>
    </w:p>
    <w:p>
      <w:pPr>
        <w:pStyle w:val="Heading2"/>
      </w:pPr>
      <w:r>
        <w:t xml:space="preserve">Training Page Updated</w:t>
      </w:r>
    </w:p>
    <w:p>
      <w:pPr>
        <w:pStyle w:val="ListParagraph"/>
        <w:numPr>
          <w:ilvl w:val="0"/>
          <w:numId w:val="2"/>
        </w:numPr>
      </w:pPr>
      <w:r>
        <w:t xml:space="preserve">Updated training.html with current case counts and module listing</w:t>
      </w:r>
    </w:p>
    <w:p>
      <w:pPr>
        <w:pStyle w:val="Heading2"/>
      </w:pPr>
      <w:r>
        <w:t xml:space="preserve">Bridge Treatment Flows</w:t>
      </w:r>
    </w:p>
    <w:p>
      <w:pPr>
        <w:pStyle w:val="ListParagraph"/>
        <w:numPr>
          <w:ilvl w:val="0"/>
          <w:numId w:val="2"/>
        </w:numPr>
      </w:pPr>
      <w:r>
        <w:t xml:space="preserve">Built complete bridge flows for 6 cases: STEMI, NSTEMI, DKA, Stroke, COPD, Urosepsis</w:t>
      </w:r>
    </w:p>
    <w:p>
      <w:pPr>
        <w:pStyle w:val="Heading1"/>
      </w:pPr>
      <w:r>
        <w:t xml:space="preserve">Session 2: Evidence-Based Treatment Retrofit</w:t>
      </w:r>
    </w:p>
    <w:p>
      <w:pPr>
        <w:pStyle w:val="Heading2"/>
      </w:pPr>
      <w:r>
        <w:t xml:space="preserve">Audit &amp; Architecture</w:t>
      </w:r>
    </w:p>
    <w:p>
      <w:pPr>
        <w:pStyle w:val="ListParagraph"/>
        <w:numPr>
          <w:ilvl w:val="0"/>
          <w:numId w:val="2"/>
        </w:numPr>
      </w:pPr>
      <w:r>
        <w:t xml:space="preserve">Audited all 58 ED Board cases: 33 had treatment modules (247 orders), 25 had none</w:t>
      </w:r>
    </w:p>
    <w:p>
      <w:pPr>
        <w:pStyle w:val="ListParagraph"/>
        <w:numPr>
          <w:ilvl w:val="0"/>
          <w:numId w:val="2"/>
        </w:numPr>
      </w:pPr>
      <w:r>
        <w:t xml:space="preserve">Designed structured reference architecture: {source, url, detail} per order</w:t>
      </w:r>
    </w:p>
    <w:p>
      <w:pPr>
        <w:pStyle w:val="ListParagraph"/>
        <w:numPr>
          <w:ilvl w:val="0"/>
          <w:numId w:val="2"/>
        </w:numPr>
      </w:pPr>
      <w:r>
        <w:t xml:space="preserve">Compiled master reference library: 106 unique open-access sources</w:t>
      </w:r>
    </w:p>
    <w:p>
      <w:pPr>
        <w:pStyle w:val="Heading2"/>
      </w:pPr>
      <w:r>
        <w:t xml:space="preserve">Phase 1: Reference Retrofit (247 Existing Orders)</w:t>
      </w:r>
    </w:p>
    <w:p>
      <w:pPr>
        <w:pStyle w:val="ListParagraph"/>
        <w:numPr>
          <w:ilvl w:val="0"/>
          <w:numId w:val="2"/>
        </w:numPr>
      </w:pPr>
      <w:r>
        <w:t xml:space="preserve">Mapped all 247 existing treatment orders to evidence-based citations</w:t>
      </w:r>
    </w:p>
    <w:p>
      <w:pPr>
        <w:pStyle w:val="ListParagraph"/>
        <w:numPr>
          <w:ilvl w:val="0"/>
          <w:numId w:val="2"/>
        </w:numPr>
      </w:pPr>
      <w:r>
        <w:t xml:space="preserve">Each order linked to 1–4 open-access sources (StatPearls, PMC, AHA, society guidelines)</w:t>
      </w:r>
    </w:p>
    <w:p>
      <w:pPr>
        <w:pStyle w:val="ListParagraph"/>
        <w:numPr>
          <w:ilvl w:val="0"/>
          <w:numId w:val="2"/>
        </w:numPr>
      </w:pPr>
      <w:r>
        <w:t xml:space="preserve">247/247 orders successfully retrofitted (100% coverage)</w:t>
      </w:r>
    </w:p>
    <w:p>
      <w:pPr>
        <w:pStyle w:val="Heading2"/>
      </w:pPr>
      <w:r>
        <w:t xml:space="preserve">Phase 2: New Treatment Modules (25 Cases, 200 Orders)</w:t>
      </w:r>
    </w:p>
    <w:p>
      <w:pPr>
        <w:pStyle w:val="ListParagraph"/>
        <w:numPr>
          <w:ilvl w:val="0"/>
          <w:numId w:val="2"/>
        </w:numPr>
      </w:pPr>
      <w:r>
        <w:t xml:space="preserve">Built 25 new treatment modules from scratch, each with 8 evidence-based orders</w:t>
      </w:r>
    </w:p>
    <w:p>
      <w:pPr>
        <w:pStyle w:val="ListParagraph"/>
        <w:numPr>
          <w:ilvl w:val="0"/>
          <w:numId w:val="2"/>
        </w:numPr>
      </w:pPr>
      <w:r>
        <w:t xml:space="preserve">All new orders include structured references from inception</w:t>
      </w:r>
    </w:p>
    <w:p>
      <w:pPr>
        <w:pStyle w:val="ListParagraph"/>
        <w:numPr>
          <w:ilvl w:val="0"/>
          <w:numId w:val="2"/>
        </w:numPr>
      </w:pPr>
      <w:r>
        <w:t xml:space="preserve">New cases: Hyperkalemia, Severe Hyponatremia, Cardiac Tamponade, Complete Heart Block, Thyroid Storm, Adrenal Crisis, Severe Pancreatitis, SBO Strangulation, Heat Stroke, Severe Hypothermia, TTP, DIC, Acute Limb Ischemia, Mesenteric Ischemia, Septic Arthritis, Compartment Syndrome, Necrotizing Fasciitis, Hip Fracture on Anticoag, Subdural Hematoma, Angle-Closure Glaucoma, CRAO, Testicular Torsion, Fournier Gangrene, SJS/TEN, Peritonsillar Abscess, Ludwig Angina</w:t>
      </w:r>
    </w:p>
    <w:p>
      <w:pPr>
        <w:pStyle w:val="Heading2"/>
      </w:pPr>
      <w:r>
        <w:t xml:space="preserve">Final Metrics</w:t>
      </w:r>
    </w:p>
    <w:p>
      <w:pPr>
        <w:pStyle w:val="ListParagraph"/>
        <w:numPr>
          <w:ilvl w:val="0"/>
          <w:numId w:val="2"/>
        </w:numPr>
      </w:pPr>
      <w:r>
        <w:t xml:space="preserve">58/58 cases with treatment modules (100%)</w:t>
      </w:r>
    </w:p>
    <w:p>
      <w:pPr>
        <w:pStyle w:val="ListParagraph"/>
        <w:numPr>
          <w:ilvl w:val="0"/>
          <w:numId w:val="2"/>
        </w:numPr>
      </w:pPr>
      <w:r>
        <w:t xml:space="preserve">447 treatment orders with evidence references (100%)</w:t>
      </w:r>
    </w:p>
    <w:p>
      <w:pPr>
        <w:pStyle w:val="ListParagraph"/>
        <w:numPr>
          <w:ilvl w:val="0"/>
          <w:numId w:val="2"/>
        </w:numPr>
      </w:pPr>
      <w:r>
        <w:t xml:space="preserve">106 unique open-access source URLs</w:t>
      </w:r>
    </w:p>
    <w:p>
      <w:pPr>
        <w:pStyle w:val="ListParagraph"/>
        <w:numPr>
          <w:ilvl w:val="0"/>
          <w:numId w:val="2"/>
        </w:numPr>
      </w:pPr>
      <w:r>
        <w:t xml:space="preserve">Sources: 75 StatPearls (CC-BY), 23 PMC OA, 5 AHA OA, 3 other OA</w:t>
      </w:r>
    </w:p>
    <w:p>
      <w:pPr>
        <w:pStyle w:val="ListParagraph"/>
        <w:numPr>
          <w:ilvl w:val="0"/>
          <w:numId w:val="2"/>
        </w:numPr>
      </w:pPr>
      <w:r>
        <w:t xml:space="preserve">JavaScript syntax validated ✓</w:t>
      </w:r>
    </w:p>
    <w:p>
      <w:pPr>
        <w:pStyle w:val="ListParagraph"/>
        <w:numPr>
          <w:ilvl w:val="0"/>
          <w:numId w:val="2"/>
        </w:numPr>
      </w:pPr>
      <w:r>
        <w:t xml:space="preserve">Audit document generated for review</w:t>
      </w:r>
    </w:p>
    <w:p>
      <w:pPr>
        <w:pStyle w:val="Heading1"/>
      </w:pPr>
      <w:r>
        <w:t xml:space="preserve">Files Delivered</w:t>
      </w:r>
    </w:p>
    <w:p>
      <w:pPr>
        <w:pStyle w:val="ListParagraph"/>
        <w:numPr>
          <w:ilvl w:val="0"/>
          <w:numId w:val="2"/>
        </w:numPr>
      </w:pPr>
      <w:r>
        <w:rPr>
          <w:b/>
          <w:bCs/>
        </w:rPr>
        <w:t xml:space="preserve">ed-board-v2.html</w:t>
      </w:r>
      <w:r>
        <w:t xml:space="preserve"> — Updated with all references + 25 new treatment modules (874 KB)</w:t>
      </w:r>
    </w:p>
    <w:p>
      <w:pPr>
        <w:pStyle w:val="ListParagraph"/>
        <w:numPr>
          <w:ilvl w:val="0"/>
          <w:numId w:val="2"/>
        </w:numPr>
      </w:pPr>
      <w:r>
        <w:rPr>
          <w:b/>
          <w:bCs/>
        </w:rPr>
        <w:t xml:space="preserve">night-float.html</w:t>
      </w:r>
      <w:r>
        <w:t xml:space="preserve"> — Collision bug fix</w:t>
      </w:r>
    </w:p>
    <w:p>
      <w:pPr>
        <w:pStyle w:val="ListParagraph"/>
        <w:numPr>
          <w:ilvl w:val="0"/>
          <w:numId w:val="2"/>
        </w:numPr>
      </w:pPr>
      <w:r>
        <w:rPr>
          <w:b/>
          <w:bCs/>
        </w:rPr>
        <w:t xml:space="preserve">training.html</w:t>
      </w:r>
      <w:r>
        <w:t xml:space="preserve"> — Updated training page</w:t>
      </w:r>
    </w:p>
    <w:p>
      <w:pPr>
        <w:pStyle w:val="ListParagraph"/>
        <w:numPr>
          <w:ilvl w:val="0"/>
          <w:numId w:val="2"/>
        </w:numPr>
      </w:pPr>
      <w:r>
        <w:rPr>
          <w:b/>
          <w:bCs/>
        </w:rPr>
        <w:t xml:space="preserve">ReasonDx-Evidence-Based-Treatment-Audit.docx</w:t>
      </w:r>
      <w:r>
        <w:t xml:space="preserve"> — Full audit report with case inventory</w:t>
      </w:r>
    </w:p>
    <w:p>
      <w:pPr>
        <w:pStyle w:val="ListParagraph"/>
        <w:numPr>
          <w:ilvl w:val="0"/>
          <w:numId w:val="2"/>
        </w:numPr>
      </w:pPr>
      <w:r>
        <w:rPr>
          <w:b/>
          <w:bCs/>
        </w:rPr>
        <w:t xml:space="preserve">ReasonDx-Changelog.docx</w:t>
      </w:r>
      <w:r>
        <w:t xml:space="preserve"> —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2026-02-24T15:30:08.041Z</dcterms:created>
  <dcterms:modified xsi:type="dcterms:W3CDTF">2026-02-24T15:30:08.042Z</dcterms:modified>
</cp:coreProperties>
</file>

<file path=docProps/custom.xml><?xml version="1.0" encoding="utf-8"?>
<Properties xmlns="http://schemas.openxmlformats.org/officeDocument/2006/custom-properties" xmlns:vt="http://schemas.openxmlformats.org/officeDocument/2006/docPropsVTypes"/>
</file>