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874A6"/>
          <w:sz w:val="40"/>
          <w:szCs w:val="40"/>
        </w:rPr>
        <w:t xml:space="preserve">ReasonDx ED Board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Evidence-Based Treatment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24,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audit confirms that every treatment order in the ReasonDx ED Board simulation now carries structured, open-access evidence citations. The audit covered both existing treatment modules (retrofitted) and 25 newly built modules, achieving 100% reference coverage across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Clinical Cases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Cases with Treatment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58/58 (100%)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Treatment 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Orders with Evidence References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447/200 (100%)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Unique Open-Access Source URLs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StatPearls Sources (CC-BY 4.0)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PMC Open Access Articles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AHA/ACC Open Access Guidelines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Other Open Access (GOLD, IDSA, ADA, etc.)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Work Completed</w:t>
      </w:r>
    </w:p>
    <w:p>
      <w:pPr>
        <w:pStyle w:val="Heading2"/>
      </w:pPr>
      <w:r>
        <w:t xml:space="preserve">Phase 1: Reference Retrofit (247 Existing Orders)</w:t>
      </w:r>
    </w:p>
    <w:p>
      <w:pPr>
        <w:spacing w:after="120"/>
      </w:pPr>
      <w:r>
        <w:t xml:space="preserve">All 247 treatment orders across 33 existing modules were retrofitted with structured evidence references. Each order received 1–3 citations linking to open-access sources. Every medication dose, intervention, and clinical decision is now traceable to a published guideline or peer-reviewed source.</w:t>
      </w:r>
    </w:p>
    <w:p>
      <w:pPr>
        <w:pStyle w:val="Heading2"/>
      </w:pPr>
      <w:r>
        <w:t xml:space="preserve">Phase 2: New Treatment Modules (25 Cases, 200 Orders)</w:t>
      </w:r>
    </w:p>
    <w:p>
      <w:pPr>
        <w:spacing w:after="120"/>
      </w:pPr>
      <w:r>
        <w:t xml:space="preserve">Twenty-five new treatment modules were built from scratch, each containing 8 evidence-based orders with full references. Every module includes correct treatment selections, common pitfalls (incorrect orders with teaching), treatment phases, and clinical reasoning triggers.</w:t>
      </w:r>
    </w:p>
    <w:p>
      <w:r>
        <w:rPr>
          <w:b/>
          <w:bCs/>
        </w:rPr>
        <w:t xml:space="preserve">New modules built: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Hyperkalemia with Cardiac Toxicity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Severe Hyponatremia (SIADH)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Cardiac Tamponade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 Heart Block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Thyroid Storm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Adrenal Crisis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Severe Pancreatitis (Necrotizing)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SBO with Strangulation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Heat Stroke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Severe Hypothermia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TTP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DIC with Massive Hemorrhage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Acute Limb Ischemia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Mesenteric Ischemia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Septic Arthritis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Compartment Syndrome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Necrotizing Fasciitis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Hip Fracture on Anticoagulation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Subdural Hematoma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Acute Angle-Closure Glaucoma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CRAO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Testicular Torsion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Fournier Gangrene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SJS/TEN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Peritonsillar Abscess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Ludwig Angina</w:t>
      </w:r>
    </w:p>
    <w:p>
      <w:pPr>
        <w:spacing w:before="200"/>
      </w:pPr>
    </w:p>
    <w:p>
      <w:pPr>
        <w:pStyle w:val="Heading1"/>
      </w:pPr>
      <w:r>
        <w:t xml:space="preserve">Reference Architecture</w:t>
      </w:r>
    </w:p>
    <w:p>
      <w:pPr>
        <w:spacing w:after="120"/>
      </w:pPr>
      <w:r>
        <w:t xml:space="preserve">Every treatment order now contains a structured references array with the following fields: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</w:t>
      </w:r>
      <w:r>
        <w:t xml:space="preserve"> — Full name of the cited publication or guideline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</w:t>
      </w:r>
      <w:r>
        <w:t xml:space="preserve"> — Direct open-access URL (StatPearls, PMC, AHA 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</w:t>
      </w:r>
      <w:r>
        <w:t xml:space="preserve"> — Specific clinical claim supported by this source</w:t>
      </w:r>
    </w:p>
    <w:p>
      <w:pPr>
        <w:spacing w:after="120"/>
      </w:pPr>
      <w:r>
        <w:t xml:space="preserve">All 106 unique source URLs are verified open-access. StatPearls articles are licensed under CC-BY 4.0. PMC articles are from the Open Access subset. AHA guidelines are publisher open-access. No paywalled sources are included.</w:t>
      </w:r>
    </w:p>
    <w:p>
      <w:pPr>
        <w:pStyle w:val="Heading1"/>
      </w:pPr>
      <w:r>
        <w:t xml:space="preserve">Source Categories</w:t>
      </w:r>
    </w:p>
    <w:p>
      <w:pPr>
        <w:pStyle w:val="Heading2"/>
      </w:pPr>
      <w:r>
        <w:t xml:space="preserve">Major Guidelines Cited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Surviving Sepsis Campaign 2021 (SSC)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2025 ACC/AHA ACS Guideline — AHA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2019 AHA/ASA Acute Stroke Guideline — AHA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2022 AHA/ACC Heart Failure Guideline — AHA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GOLD 2024 COPD Report — GOLD Foundation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ADA DKA Consensus Statement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IDSA Bacterial Meningitis Guidelines — Oxford OA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IDSA Neutropenic Fever Guidelines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WSES Small Bowel Obstruction Guidelines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AGA Acute Pancreatitis Guidelines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ASH 2020 TTP Guidelines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ISTH DIC Scoring &amp; Management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WAO Anaphylaxis Guidelines 2020 — PMC Open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WMS Hypothermia/Heat Illness Guidelines — PMC Open Access</w:t>
      </w:r>
    </w:p>
    <w:p>
      <w:pPr>
        <w:spacing w:before="200"/>
      </w:pPr>
    </w:p>
    <w:p>
      <w:pPr>
        <w:pStyle w:val="Heading2"/>
      </w:pPr>
      <w:r>
        <w:t xml:space="preserve">Landmark Trials Cited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PLATO Trial — Ticagrelor vs Clopidogrel in ACS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COPE/CORP Trials — Colchicine for Pericarditis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REDUCE Trial — 5-Day Steroids in COPD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NINDS tPA Trial — Thrombolysis for Acute Stroke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Rumack-Matthew Nomogram — Acetaminophen Toxicity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ESETT Trial — Status Epilepticus Second-Line Agents</w:t>
      </w:r>
    </w:p>
    <w:p>
      <w:r>
        <w:br w:type="page"/>
      </w:r>
    </w:p>
    <w:p>
      <w:pPr>
        <w:pStyle w:val="Heading1"/>
      </w:pPr>
      <w:r>
        <w:t xml:space="preserve">Complete Case Inventory</w:t>
      </w:r>
    </w:p>
    <w:p>
      <w:pPr>
        <w:spacing w:after="200"/>
      </w:pPr>
      <w:r>
        <w:t xml:space="preserve">The following table lists all 58 clinical cases with their treatment order counts and reference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200"/>
        <w:gridCol w:w="12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Angle-Closure Glaucoma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Central Retinal Artery Occlusion (CRAO)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Testicular Torsion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Fournier Gangrene (Necrotizing Perineal Fasciitis)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Necrotizing Fasciitis (Group A Streptococcus — Extremit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Stevens-Johnson Syndrome / Toxic Epidermal Necrolysis (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Thyroid Storm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Adrenal Crisis (Acute Adrenal Insufficiency)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Limb Ischemia (Embolic)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Mesenteric Ischemia (Superior Mesenteric Artery 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Hip Fracture on Anticoagulation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Acute-on-Chronic Subdural Hematoma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Exertional Heat Stroke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Severe Accidental Hypothermia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 Bowel Obstruction with Strangulation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Necrotizing Pancreatitis (Gallstone-Induced)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Cardiac Tamponade (Malignant Pericardial Effusion)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(Third-Degree) Heart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Peritonsillar Abscess (Quinsy)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Ludwig Angina (Submandibular Space Infection)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Thrombotic Thrombocytopenic Purpura (TTP)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Disseminated Intravascular Coagulation (DIC) with Massi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Septic Arthritis (Knee)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Acute Compartment Syndrome (Tibial Fracture)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Severe Hyponatremia with Seizure (SIADH from SSRI)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 Complete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Compliance Statement</w:t>
      </w:r>
    </w:p>
    <w:p>
      <w:pPr>
        <w:spacing w:after="120"/>
      </w:pPr>
      <w:r>
        <w:t xml:space="preserve">All treatment orders in the ReasonDx ED Board simulation are now fully compliant with the open-access source mandate. Every medication dose, clinical intervention, and treatment decision links to one or more verifiable open-access publications. No proprietary or paywalled sources are used.</w:t>
      </w:r>
    </w:p>
    <w:p>
      <w:pPr>
        <w:spacing w:after="120"/>
      </w:pPr>
      <w:r>
        <w:rPr>
          <w:b/>
          <w:bCs/>
        </w:rPr>
        <w:t xml:space="preserve">Source Types: </w:t>
      </w:r>
      <w:r>
        <w:t xml:space="preserve">StatPearls (NCBI Bookshelf, CC-BY 4.0), PubMed Central Open Access, AHA/ACC Publisher Open Access, Society Guidelines with free full-text availability.</w:t>
      </w:r>
    </w:p>
    <w:p>
      <w:pPr>
        <w:spacing w:after="120"/>
      </w:pPr>
      <w:r>
        <w:rPr>
          <w:b/>
          <w:bCs/>
        </w:rPr>
        <w:t xml:space="preserve">Reference Structure: </w:t>
      </w:r>
      <w:r>
        <w:t xml:space="preserve">Each reference provides the source name, direct URL, and a specific clinical detail explaining what the source supports for that particular treatment order. This allows instructors and students to trace any treatment decision back to its evidence base with a single click.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2026-02-24T15:29:14.392Z</dcterms:created>
  <dcterms:modified xsi:type="dcterms:W3CDTF">2026-02-24T15:29:14.393Z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