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Market &amp; Competitive Research: Client Meeting Follow-Up</w:t>
      </w:r>
    </w:p>
    <w:p>
      <w:pPr>
        <w:spacing w:after="300"/>
      </w:pPr>
      <w:r>
        <w:rPr>
          <w:color w:val="666666"/>
          <w:sz w:val="20"/>
          <w:szCs w:val="20"/>
        </w:rPr>
        <w:t xml:space="preserve">Prepared by Lauren, Project Manager  |  </w:t>
      </w:r>
      <w:r>
        <w:rPr>
          <w:color w:val="666666"/>
          <w:sz w:val="20"/>
          <w:szCs w:val="20"/>
        </w:rPr>
        <w:t xml:space="preserve">August 2, 2026</w:t>
      </w:r>
    </w:p>
    <w:p>
      <w:pPr>
        <w:pStyle w:val="Heading1"/>
        <w:spacing w:after="150" w:before="300"/>
      </w:pPr>
      <w:r>
        <w:t xml:space="preserve">Meeting 1: Renewal Check-In — County Jail (approx. 800 beds)</w:t>
      </w:r>
    </w:p>
    <w:p>
      <w:pPr>
        <w:spacing w:after="200"/>
        <w:rPr>
          <w:i/>
          <w:iCs/>
          <w:color w:val="666666"/>
          <w:sz w:val="20"/>
          <w:szCs w:val="20"/>
        </w:rPr>
      </w:pPr>
      <w:r>
        <w:t xml:space="preserve">Topics researched: Telmate (competitor pitching lower pricing/faster SLA); support ticket escalation benchmarks</w:t>
      </w:r>
    </w:p>
    <w:p>
      <w:pPr>
        <w:pStyle w:val="Heading2"/>
        <w:spacing w:after="150" w:before="300"/>
      </w:pPr>
      <w:r>
        <w:t xml:space="preserve">Telmate / GTL Background</w:t>
      </w:r>
    </w:p>
    <w:p>
      <w:pPr>
        <w:spacing w:after="160"/>
      </w:pPr>
      <w:r>
        <w:rPr>
          <w:sz w:val="22"/>
          <w:szCs w:val="22"/>
        </w:rPr>
        <w:t xml:space="preserve">Telmate was founded in 1998 (originally as Pinnacle Public Services) and has grown into one of the larger inmate communications providers in North America, serving facilities across nearly every U.S. state and several Canadian provinces. Telmate is now a subsidiary of Global Tel Link (GTL), which operates under the ViaPath Technologies brand. Given that GTL acquired Telmate, regulatory actions against GTL apply to the Telmate brand as well.</w:t>
      </w:r>
    </w:p>
    <w:p>
      <w:pPr>
        <w:pStyle w:val="Heading3"/>
        <w:spacing w:after="150" w:before="300"/>
      </w:pPr>
      <w:r>
        <w:t xml:space="preserve">Regulatory Actions Against GTL / Telmate</w:t>
      </w:r>
    </w:p>
    <w:p>
      <w:pPr>
        <w:pStyle w:val="ListParagraph"/>
        <w:numPr>
          <w:ilvl w:val="0"/>
          <w:numId w:val="1"/>
        </w:numPr>
        <w:spacing w:after="100"/>
        <w:rPr>
          <w:sz w:val="22"/>
          <w:szCs w:val="22"/>
        </w:rPr>
      </w:pPr>
      <w:r>
        <w:t xml:space="preserve">FTC data security order (finalized February 23, 2024): The FTC found that Global Tel Link Corp. and its subsidiaries, Telmate, LLC and TouchPay Holdings, LLC, failed to secure sensitive personal data of approximately 649,500 users. Unencrypted user data had been copied into a cloud environment for testing without adequate protections, and unauthorized parties accessed it. The order requires the companies to implement a comprehensive data security program and prohibits them from misrepresenting their security practices.</w:t>
      </w:r>
    </w:p>
    <w:p>
      <w:pPr>
        <w:pStyle w:val="ListParagraph"/>
        <w:numPr>
          <w:ilvl w:val="0"/>
          <w:numId w:val="1"/>
        </w:numPr>
        <w:spacing w:after="100"/>
        <w:rPr>
          <w:sz w:val="22"/>
          <w:szCs w:val="22"/>
        </w:rPr>
      </w:pPr>
      <w:r>
        <w:t xml:space="preserve">CFPB financial practices action (November 2024): The CFPB found that Global Tel Link engaged in unfair practices related to payment/commissary accounts for incarcerated individuals, including improperly freezing and draining accounts and blocking money transfers without adequate notice. GTL was ordered to pay at least $2 million in consumer redress plus a $1 million penalty.</w:t>
      </w:r>
    </w:p>
    <w:p>
      <w:pPr>
        <w:spacing w:after="200"/>
      </w:pPr>
      <w:hyperlink w:history="1" r:id="rIda86oqwnifdb5w-tp5qhog">
        <w:r>
          <w:rPr>
            <w:rStyle w:val="Hyperlink"/>
            <w:sz w:val="20"/>
            <w:szCs w:val="20"/>
          </w:rPr>
          <w:t xml:space="preserve">FTC case page</w:t>
        </w:r>
      </w:hyperlink>
      <w:r>
        <w:rPr>
          <w:sz w:val="20"/>
          <w:szCs w:val="20"/>
        </w:rPr>
        <w:t xml:space="preserve">  |  </w:t>
      </w:r>
      <w:hyperlink w:history="1" r:id="rIdcreiar5tmzjdbsypiuz-f">
        <w:r>
          <w:rPr>
            <w:rStyle w:val="Hyperlink"/>
            <w:sz w:val="20"/>
            <w:szCs w:val="20"/>
          </w:rPr>
          <w:t xml:space="preserve">FTC consent order (PDF)</w:t>
        </w:r>
      </w:hyperlink>
      <w:r>
        <w:rPr>
          <w:sz w:val="20"/>
          <w:szCs w:val="20"/>
        </w:rPr>
        <w:t xml:space="preserve">  |  </w:t>
      </w:r>
      <w:hyperlink w:history="1" r:id="rId9jvgjdf6hpyesi4-xdy62">
        <w:r>
          <w:rPr>
            <w:rStyle w:val="Hyperlink"/>
            <w:sz w:val="20"/>
            <w:szCs w:val="20"/>
          </w:rPr>
          <w:t xml:space="preserve">CFPB enforcement action</w:t>
        </w:r>
      </w:hyperlink>
      <w:r>
        <w:rPr>
          <w:sz w:val="20"/>
          <w:szCs w:val="20"/>
        </w:rPr>
        <w:t xml:space="preserve">  |  </w:t>
      </w:r>
      <w:hyperlink w:history="1" r:id="rIddsk-ncoguiqrb2os20xvk">
        <w:r>
          <w:rPr>
            <w:rStyle w:val="Hyperlink"/>
            <w:sz w:val="20"/>
            <w:szCs w:val="20"/>
          </w:rPr>
          <w:t xml:space="preserve">CFPB press release</w:t>
        </w:r>
      </w:hyperlink>
    </w:p>
    <w:p>
      <w:pPr>
        <w:pStyle w:val="Heading2"/>
        <w:spacing w:after="150" w:before="300"/>
      </w:pPr>
      <w:r>
        <w:t xml:space="preserve">Support Escalation Time Benchmarks</w:t>
      </w:r>
    </w:p>
    <w:p>
      <w:pPr>
        <w:spacing w:after="160"/>
      </w:pPr>
      <w:r>
        <w:rPr>
          <w:sz w:val="22"/>
          <w:szCs w:val="22"/>
        </w:rPr>
        <w:t xml:space="preserve">General IT support benchmarks: 15 minutes for critical-priority tickets, 1 hour for high priority, 4 hours for medium priority, and 24-48 hours for low priority. Field service escalations for on-site hardware issues tend to run faster than standard helpdesk SLAs; a common baseline is a 2-hour acknowledgment window with next-business-day resolution for single-unit hardware failures.</w:t>
      </w:r>
    </w:p>
    <w:p>
      <w:pPr>
        <w:spacing w:after="160"/>
      </w:pPr>
      <w:r>
        <w:rPr>
          <w:sz w:val="22"/>
          <w:szCs w:val="22"/>
        </w:rPr>
        <w:t xml:space="preserve">Relevance: Telmate's pitch of a 4-hour SLA falls within the standard "high priority" tier, not an exceptional offer. This is useful context if Marcus raises it again as a differentiator.</w:t>
      </w:r>
    </w:p>
    <w:p>
      <w:pPr>
        <w:spacing w:after="200"/>
      </w:pPr>
      <w:hyperlink w:history="1" r:id="rId9dafu81vgljju8jaexlss">
        <w:r>
          <w:rPr>
            <w:rStyle w:val="Hyperlink"/>
            <w:sz w:val="20"/>
            <w:szCs w:val="20"/>
          </w:rPr>
          <w:t xml:space="preserve">IT Support Response Time Standards</w:t>
        </w:r>
      </w:hyperlink>
      <w:r>
        <w:rPr>
          <w:sz w:val="20"/>
          <w:szCs w:val="20"/>
        </w:rPr>
        <w:t xml:space="preserve">  |  </w:t>
      </w:r>
      <w:hyperlink w:history="1" r:id="rIdfgonjx3_iycd2ktfww_zu">
        <w:r>
          <w:rPr>
            <w:rStyle w:val="Hyperlink"/>
            <w:sz w:val="20"/>
            <w:szCs w:val="20"/>
          </w:rPr>
          <w:t xml:space="preserve">IT Ticket Resolution Cycle Time Benchmarks (OpsDog)</w:t>
        </w:r>
      </w:hyperlink>
    </w:p>
    <w:p>
      <w:pPr>
        <w:pBdr>
          <w:bottom w:val="single" w:color="999999" w:sz="6" w:space="1"/>
        </w:pBdr>
        <w:spacing w:after="200"/>
      </w:pPr>
    </w:p>
    <w:p>
      <w:pPr>
        <w:pStyle w:val="Heading1"/>
        <w:spacing w:after="150" w:before="300"/>
      </w:pPr>
      <w:r>
        <w:t xml:space="preserve">Meeting 2: Expansion Discussion — State DOC Facility</w:t>
      </w:r>
    </w:p>
    <w:p>
      <w:pPr>
        <w:spacing w:after="200"/>
        <w:rPr>
          <w:i/>
          <w:iCs/>
          <w:color w:val="666666"/>
          <w:sz w:val="20"/>
          <w:szCs w:val="20"/>
        </w:rPr>
      </w:pPr>
      <w:r>
        <w:t xml:space="preserve">Topics researched: population count periods; phased rollout best practices; staff turnover/training challenges; video visitation adoption trends; state budget cycle timing</w:t>
      </w:r>
    </w:p>
    <w:p>
      <w:pPr>
        <w:pStyle w:val="Heading2"/>
        <w:spacing w:after="150" w:before="300"/>
      </w:pPr>
      <w:r>
        <w:t xml:space="preserve">Population Count Period</w:t>
      </w:r>
    </w:p>
    <w:p>
      <w:pPr>
        <w:spacing w:after="160"/>
      </w:pPr>
      <w:r>
        <w:rPr>
          <w:sz w:val="22"/>
          <w:szCs w:val="22"/>
        </w:rPr>
        <w:t xml:space="preserve">A "formal" or "name and face" count is a scheduled headcount where officers visually verify each incarcerated individual against the official roster. Formal counts occur at set points such as shift changes, before lockdowns, and at meal times. During a count, most facility activity, including visits, transfers, and recreation, stops until the count is verified; a discrepancy can trigger an immediate lockdown and investigation.</w:t>
      </w:r>
    </w:p>
    <w:p>
      <w:pPr>
        <w:spacing w:after="160"/>
      </w:pPr>
      <w:r>
        <w:rPr>
          <w:sz w:val="22"/>
          <w:szCs w:val="22"/>
        </w:rPr>
        <w:t xml:space="preserve">Relevance: This confirms why the Operations Lead wants to avoid any rollout activity during the count period; a new module could directly interfere with a process that halts all other operations facility-wide.</w:t>
      </w:r>
    </w:p>
    <w:p>
      <w:pPr>
        <w:spacing w:after="200"/>
      </w:pPr>
      <w:hyperlink w:history="1" r:id="rIdnn560wrqja1a2xvvkiyml">
        <w:r>
          <w:rPr>
            <w:rStyle w:val="Hyperlink"/>
            <w:sz w:val="20"/>
            <w:szCs w:val="20"/>
          </w:rPr>
          <w:t xml:space="preserve">Inmate Headcounts: A Critical Responsibility (Lexipol)</w:t>
        </w:r>
      </w:hyperlink>
      <w:r>
        <w:rPr>
          <w:sz w:val="20"/>
          <w:szCs w:val="20"/>
        </w:rPr>
        <w:t xml:space="preserve">  |  </w:t>
      </w:r>
      <w:hyperlink w:history="1" r:id="rId-8fehoam-f1qccavoqmdd">
        <w:r>
          <w:rPr>
            <w:rStyle w:val="Hyperlink"/>
            <w:sz w:val="20"/>
            <w:szCs w:val="20"/>
          </w:rPr>
          <w:t xml:space="preserve">Daily Schedules, Counts, and Movement (Prisonpedia)</w:t>
        </w:r>
      </w:hyperlink>
    </w:p>
    <w:p>
      <w:pPr>
        <w:pStyle w:val="Heading2"/>
        <w:spacing w:after="150" w:before="300"/>
      </w:pPr>
      <w:r>
        <w:t xml:space="preserve">Phased Rollout Best Practices</w:t>
      </w:r>
    </w:p>
    <w:p>
      <w:pPr>
        <w:spacing w:after="160"/>
      </w:pPr>
      <w:r>
        <w:rPr>
          <w:sz w:val="22"/>
          <w:szCs w:val="22"/>
        </w:rPr>
        <w:t xml:space="preserve">Standard practice favors starting with a small pilot group, often 5-10% of the total footprint, or a single unit/department for smaller deployments, then expanding in waves with buffer time between phases to fix issues and refresh training. Readiness criteria (training, infrastructure, support capacity) should be confirmed before each phase goes live.</w:t>
      </w:r>
    </w:p>
    <w:p>
      <w:pPr>
        <w:spacing w:after="160"/>
      </w:pPr>
      <w:r>
        <w:rPr>
          <w:sz w:val="22"/>
          <w:szCs w:val="22"/>
        </w:rPr>
        <w:t xml:space="preserve">Relevance: Supports the single-housing-unit pilot approach already discussed with Sandra as an industry-standard, low-risk path.</w:t>
      </w:r>
    </w:p>
    <w:p>
      <w:pPr>
        <w:spacing w:after="200"/>
      </w:pPr>
      <w:hyperlink w:history="1" r:id="rIdxgiutauznbitskeeylhl_">
        <w:r>
          <w:rPr>
            <w:rStyle w:val="Hyperlink"/>
            <w:sz w:val="20"/>
            <w:szCs w:val="20"/>
          </w:rPr>
          <w:t xml:space="preserve">Six Questions to Help Set Up an Effective Pilot and System Rollout (Unisys)</w:t>
        </w:r>
      </w:hyperlink>
      <w:r>
        <w:rPr>
          <w:sz w:val="20"/>
          <w:szCs w:val="20"/>
        </w:rPr>
        <w:t xml:space="preserve">  |  </w:t>
      </w:r>
      <w:hyperlink w:history="1" r:id="rId5mh7tk67q4fdtkqqlxxkc">
        <w:r>
          <w:rPr>
            <w:rStyle w:val="Hyperlink"/>
            <w:sz w:val="20"/>
            <w:szCs w:val="20"/>
          </w:rPr>
          <w:t xml:space="preserve">Technology Rollout Plan: Big Bang vs Pilot (Worksuite)</w:t>
        </w:r>
      </w:hyperlink>
    </w:p>
    <w:p>
      <w:pPr>
        <w:pStyle w:val="Heading2"/>
        <w:spacing w:after="150" w:before="300"/>
      </w:pPr>
      <w:r>
        <w:t xml:space="preserve">Staff Turnover and Training Challenges</w:t>
      </w:r>
    </w:p>
    <w:p>
      <w:pPr>
        <w:spacing w:after="160"/>
      </w:pPr>
      <w:r>
        <w:rPr>
          <w:sz w:val="22"/>
          <w:szCs w:val="22"/>
        </w:rPr>
        <w:t xml:space="preserve">Corrections agencies nationwide are dealing with a documented staffing crisis; agencies investing in mental health resources, leadership development, and family support have reduced turnover by as much as 50%. High turnover is directly linked to difficulty maintaining routine technology training, since new hires are constantly cycling in without full onboarding on existing systems, let alone new modules.</w:t>
      </w:r>
    </w:p>
    <w:p>
      <w:pPr>
        <w:spacing w:after="160"/>
      </w:pPr>
      <w:r>
        <w:rPr>
          <w:sz w:val="22"/>
          <w:szCs w:val="22"/>
        </w:rPr>
        <w:t xml:space="preserve">Relevance: Validates Sandra's and the Operations Lead's concern that current staff turnover makes retraining for a new module especially important to plan for.</w:t>
      </w:r>
    </w:p>
    <w:p>
      <w:pPr>
        <w:spacing w:after="200"/>
      </w:pPr>
      <w:hyperlink w:history="1" r:id="rId3k2eycxvijs5coid6qopo">
        <w:r>
          <w:rPr>
            <w:rStyle w:val="Hyperlink"/>
            <w:sz w:val="20"/>
            <w:szCs w:val="20"/>
          </w:rPr>
          <w:t xml:space="preserve">A Year of Progress: 2025 Correctional Trends In Review</w:t>
        </w:r>
      </w:hyperlink>
      <w:r>
        <w:rPr>
          <w:sz w:val="20"/>
          <w:szCs w:val="20"/>
        </w:rPr>
        <w:t xml:space="preserve">  |  </w:t>
      </w:r>
      <w:hyperlink w:history="1" r:id="rIde1pkzireglnap8pemff8b">
        <w:r>
          <w:rPr>
            <w:rStyle w:val="Hyperlink"/>
            <w:sz w:val="20"/>
            <w:szCs w:val="20"/>
          </w:rPr>
          <w:t xml:space="preserve">Technology in corrections: efficiency, safety, and officer retention (Corrections1)</w:t>
        </w:r>
      </w:hyperlink>
    </w:p>
    <w:p>
      <w:pPr>
        <w:pStyle w:val="Heading2"/>
        <w:spacing w:after="150" w:before="300"/>
      </w:pPr>
      <w:r>
        <w:t xml:space="preserve">Video Visitation Adoption Trends</w:t>
      </w:r>
    </w:p>
    <w:p>
      <w:pPr>
        <w:spacing w:after="160"/>
      </w:pPr>
      <w:r>
        <w:rPr>
          <w:sz w:val="22"/>
          <w:szCs w:val="22"/>
        </w:rPr>
        <w:t xml:space="preserve">Video visitation adoption has grown steadily since the early 2010s, but jails have adopted faster than state prison systems, largely due to the added complexity of rolling out statewide. Historically, only a handful of states (e.g., Indiana, Ohio, Oregon, Washington) achieved system-wide or near-system-wide deployment, while many others implemented it more gradually or in select facilities.</w:t>
      </w:r>
    </w:p>
    <w:p>
      <w:pPr>
        <w:spacing w:after="160"/>
      </w:pPr>
      <w:r>
        <w:rPr>
          <w:sz w:val="22"/>
          <w:szCs w:val="22"/>
        </w:rPr>
        <w:t xml:space="preserve">Relevance: A phased, facility-by-facility approach is consistent with how most state DOC systems have actually adopted this technology, reinforcing that the proposed pilot timeline is realistic rather than overly cautious.</w:t>
      </w:r>
    </w:p>
    <w:p>
      <w:pPr>
        <w:spacing w:after="200"/>
      </w:pPr>
      <w:hyperlink w:history="1" r:id="rIdh-ge6xziaqmkdg8xckfj3">
        <w:r>
          <w:rPr>
            <w:rStyle w:val="Hyperlink"/>
            <w:sz w:val="20"/>
            <w:szCs w:val="20"/>
          </w:rPr>
          <w:t xml:space="preserve">A New Role for Technology: Video Visitation in Prison (Vera Institute)</w:t>
        </w:r>
      </w:hyperlink>
      <w:r>
        <w:rPr>
          <w:sz w:val="20"/>
          <w:szCs w:val="20"/>
        </w:rPr>
        <w:t xml:space="preserve">  |  </w:t>
      </w:r>
      <w:hyperlink w:history="1" r:id="rIdkgqjfjd9qqnqv2tvllgcg">
        <w:r>
          <w:rPr>
            <w:rStyle w:val="Hyperlink"/>
            <w:sz w:val="20"/>
            <w:szCs w:val="20"/>
          </w:rPr>
          <w:t xml:space="preserve">Screening Out Family Time (Prison Policy Initiative)</w:t>
        </w:r>
      </w:hyperlink>
    </w:p>
    <w:p>
      <w:pPr>
        <w:pStyle w:val="Heading2"/>
        <w:spacing w:after="150" w:before="300"/>
      </w:pPr>
      <w:r>
        <w:t xml:space="preserve">State DOC Budget Cycle Timing</w:t>
      </w:r>
    </w:p>
    <w:p>
      <w:pPr>
        <w:spacing w:after="160"/>
      </w:pPr>
      <w:r>
        <w:rPr>
          <w:sz w:val="22"/>
          <w:szCs w:val="22"/>
        </w:rPr>
        <w:t xml:space="preserve">State fiscal years vary (some run July-June, others October-September or similar), and technology investment has become an increasingly common line item in state corrections budget requests in recent cycles. Confirming the specific state's fiscal calendar directly with Sandra will sharpen the timeline more than general research can.</w:t>
      </w:r>
    </w:p>
    <w:p>
      <w:pPr>
        <w:spacing w:after="200"/>
      </w:pPr>
      <w:hyperlink w:history="1" r:id="rIdnoicxvy40spteu21iqhkf">
        <w:r>
          <w:rPr>
            <w:rStyle w:val="Hyperlink"/>
            <w:sz w:val="20"/>
            <w:szCs w:val="20"/>
          </w:rPr>
          <w:t xml:space="preserve">State corrections budget change proposals (Techwire)</w:t>
        </w:r>
      </w:hyperlink>
      <w:r>
        <w:rPr>
          <w:sz w:val="20"/>
          <w:szCs w:val="20"/>
        </w:rPr>
        <w:t xml:space="preserve">  |  </w:t>
      </w:r>
      <w:hyperlink w:history="1" r:id="rId0kwplhqzhgc3pwipiuh-5">
        <w:r>
          <w:rPr>
            <w:rStyle w:val="Hyperlink"/>
            <w:sz w:val="20"/>
            <w:szCs w:val="20"/>
          </w:rPr>
          <w:t xml:space="preserve">States debate prison spending as needs grow but budgets tighten (Stateline)</w:t>
        </w:r>
      </w:hyperlink>
    </w:p>
    <w:p>
      <w:pPr>
        <w:pBdr>
          <w:bottom w:val="single" w:color="999999" w:sz="6" w:space="1"/>
        </w:pBdr>
        <w:spacing w:after="200"/>
      </w:pPr>
    </w:p>
    <w:p>
      <w:pPr>
        <w:pStyle w:val="Heading1"/>
        <w:spacing w:after="150" w:before="300"/>
      </w:pPr>
      <w:r>
        <w:t xml:space="preserve">Meeting 3: New-Site Competitive Pitch — Regional Sheriff's Office</w:t>
      </w:r>
    </w:p>
    <w:p>
      <w:pPr>
        <w:spacing w:after="200"/>
        <w:rPr>
          <w:i/>
          <w:iCs/>
          <w:color w:val="666666"/>
          <w:sz w:val="20"/>
          <w:szCs w:val="20"/>
        </w:rPr>
      </w:pPr>
      <w:r>
        <w:t xml:space="preserve">Topics researched: CJIS compliance certification requirements; CJIS disaster recovery requirements</w:t>
      </w:r>
    </w:p>
    <w:p>
      <w:pPr>
        <w:pStyle w:val="Heading2"/>
        <w:spacing w:after="150" w:before="300"/>
      </w:pPr>
      <w:r>
        <w:t xml:space="preserve">CJIS Compliance Certification</w:t>
      </w:r>
    </w:p>
    <w:p>
      <w:pPr>
        <w:spacing w:after="160"/>
      </w:pPr>
      <w:r>
        <w:rPr>
          <w:sz w:val="22"/>
          <w:szCs w:val="22"/>
        </w:rPr>
        <w:t xml:space="preserve">Important nuance: there is no official "CJIS certification" that a vendor can hold in the traditional sense, no vendor can certify an agency as CJIS compliant, and no third party grants a national compliance credential. A vendor claiming to be "CJIS Certified" outright can be a red flag unless a specific state uses that term to describe its own vetted-vendor list.</w:t>
      </w:r>
    </w:p>
    <w:p>
      <w:pPr>
        <w:spacing w:after="160"/>
      </w:pPr>
      <w:r>
        <w:rPr>
          <w:sz w:val="22"/>
          <w:szCs w:val="22"/>
        </w:rPr>
        <w:t xml:space="preserve">What actually matters for vendors: signing the CJIS Security Addendum, completing risk assessments for every technology acquisition, security awareness training for staff with unescorted access to CJI systems, and holding recognized security/audit credentials (CISSP, CISA, CISM, GSNA). The CJIS Security Policy is also on an active update cycle: Version 6.0 took effect December 27, 2024 (the most significant modernization in over a decade), with Version 6.1 expected spring 2026 and updates now scheduled every 6-12 months.</w:t>
      </w:r>
    </w:p>
    <w:p>
      <w:pPr>
        <w:spacing w:after="160"/>
      </w:pPr>
      <w:r>
        <w:rPr>
          <w:sz w:val="22"/>
          <w:szCs w:val="22"/>
        </w:rPr>
        <w:t xml:space="preserve">Relevance: Before sending compliance documentation to Dave's team, confirm the materials reflect Version 6.0 requirements and frame the language carefully (Addendum + risk assessments + credentials) rather than claiming a blanket "CJIS certification."</w:t>
      </w:r>
    </w:p>
    <w:p>
      <w:pPr>
        <w:spacing w:after="200"/>
      </w:pPr>
      <w:hyperlink w:history="1" r:id="rIdhl7_i7wslmzvhtesa0i-6">
        <w:r>
          <w:rPr>
            <w:rStyle w:val="Hyperlink"/>
            <w:sz w:val="20"/>
            <w:szCs w:val="20"/>
          </w:rPr>
          <w:t xml:space="preserve">2 Essential CJIS Certifications for a CJIS Vendor (Corsica Tech)</w:t>
        </w:r>
      </w:hyperlink>
      <w:r>
        <w:rPr>
          <w:sz w:val="20"/>
          <w:szCs w:val="20"/>
        </w:rPr>
        <w:t xml:space="preserve">  |  </w:t>
      </w:r>
      <w:hyperlink w:history="1" r:id="rIdmbnw1k2myfwhbm9eq6zuh">
        <w:r>
          <w:rPr>
            <w:rStyle w:val="Hyperlink"/>
            <w:sz w:val="20"/>
            <w:szCs w:val="20"/>
          </w:rPr>
          <w:t xml:space="preserve">CJIS Security Policy: All You Need to Know (2026)</w:t>
        </w:r>
      </w:hyperlink>
    </w:p>
    <w:p>
      <w:pPr>
        <w:pStyle w:val="Heading2"/>
        <w:spacing w:after="150" w:before="300"/>
      </w:pPr>
      <w:r>
        <w:t xml:space="preserve">CJIS Disaster Recovery Requirements</w:t>
      </w:r>
    </w:p>
    <w:p>
      <w:pPr>
        <w:spacing w:after="160"/>
      </w:pPr>
      <w:r>
        <w:rPr>
          <w:sz w:val="22"/>
          <w:szCs w:val="22"/>
        </w:rPr>
        <w:t xml:space="preserve">The CJIS Security Policy requires documented disaster recovery and business continuity plans designed to ensure continuity of operations and minimal data loss during adverse events. Requirements include: assigning clear roles and responsibilities to stakeholders, identifying critical assets, testing and regularly updating contingency plans, and, depending on scale, designating an alternate storage/processing site that is physically separate from the primary location. Contingency planning should be integrated with incident response and business continuity efforts rather than treated as a standalone document.</w:t>
      </w:r>
    </w:p>
    <w:p>
      <w:pPr>
        <w:spacing w:after="160"/>
      </w:pPr>
      <w:r>
        <w:rPr>
          <w:sz w:val="22"/>
          <w:szCs w:val="22"/>
        </w:rPr>
        <w:t xml:space="preserve">Relevance: Directly maps to Dave's questions about uptime guarantees and disaster recovery. The technical deep-dive materials should explicitly address tested backup/recovery procedures and any alternate-site strategy.</w:t>
      </w:r>
    </w:p>
    <w:p>
      <w:pPr>
        <w:spacing w:after="200"/>
      </w:pPr>
      <w:hyperlink w:history="1" r:id="rIdlw6tpj8mcfb7uvfxgpy90">
        <w:r>
          <w:rPr>
            <w:rStyle w:val="Hyperlink"/>
            <w:sz w:val="20"/>
            <w:szCs w:val="20"/>
          </w:rPr>
          <w:t xml:space="preserve">Your guide to the CJIS Security Policy (Vanta)</w:t>
        </w:r>
      </w:hyperlink>
      <w:r>
        <w:rPr>
          <w:sz w:val="20"/>
          <w:szCs w:val="20"/>
        </w:rPr>
        <w:t xml:space="preserve">  |  </w:t>
      </w:r>
      <w:hyperlink w:history="1" r:id="rIdskhmtnubtcrxtulanmibz">
        <w:r>
          <w:rPr>
            <w:rStyle w:val="Hyperlink"/>
            <w:sz w:val="20"/>
            <w:szCs w:val="20"/>
          </w:rPr>
          <w:t xml:space="preserve">The CJIS Security Policy Areas You Need to Be Aware Of (Thrive)</w:t>
        </w:r>
      </w:hyperlink>
    </w:p>
    <w:p>
      <w:pPr>
        <w:pBdr>
          <w:bottom w:val="single" w:color="999999" w:sz="6" w:space="1"/>
        </w:pBdr>
        <w:spacing w:after="200"/>
      </w:pPr>
    </w:p>
    <w:p>
      <w:pPr>
        <w:pStyle w:val="Heading1"/>
        <w:spacing w:after="150" w:before="300"/>
      </w:pPr>
      <w:r>
        <w:t xml:space="preserve">Meeting 4: Support Friction Call — Existing Client (Small Facility)</w:t>
      </w:r>
    </w:p>
    <w:p>
      <w:pPr>
        <w:spacing w:after="200"/>
        <w:rPr>
          <w:i/>
          <w:iCs/>
          <w:color w:val="666666"/>
          <w:sz w:val="20"/>
          <w:szCs w:val="20"/>
        </w:rPr>
      </w:pPr>
      <w:r>
        <w:t xml:space="preserve">Topics researched: support ticket escalation time benchmarks</w:t>
      </w:r>
    </w:p>
    <w:p>
      <w:pPr>
        <w:pStyle w:val="Heading2"/>
        <w:spacing w:after="150" w:before="300"/>
      </w:pPr>
      <w:r>
        <w:t xml:space="preserve">Support Escalation Time Benchmarks</w:t>
      </w:r>
    </w:p>
    <w:p>
      <w:pPr>
        <w:spacing w:after="160"/>
      </w:pPr>
      <w:r>
        <w:rPr>
          <w:sz w:val="22"/>
          <w:szCs w:val="22"/>
        </w:rPr>
        <w:t xml:space="preserve">Industry benchmarks: 15-minute response for critical-priority tickets, 1 hour for high priority, 4 hours for medium priority, and 24-48 hours for low priority. Field service escalations for on-site hardware issues are generally held to tighter standards than general helpdesk SLAs; a common baseline for a single-user hardware failure is a 2-hour acknowledgment window with next-business-day resolution.</w:t>
      </w:r>
    </w:p>
    <w:p>
      <w:pPr>
        <w:spacing w:after="160"/>
      </w:pPr>
      <w:r>
        <w:rPr>
          <w:sz w:val="22"/>
          <w:szCs w:val="22"/>
        </w:rPr>
        <w:t xml:space="preserve">Relevance: A 3-day resolution time for a hardware issue, as Angela described, falls well outside standard benchmarks at any priority tier. This supports the case for a process fix and/or a dedicated account representative for her facility.</w:t>
      </w:r>
    </w:p>
    <w:p>
      <w:pPr>
        <w:spacing w:after="200"/>
      </w:pPr>
      <w:hyperlink w:history="1" r:id="rIdjuwb6x_od5tzsit3eswvk">
        <w:r>
          <w:rPr>
            <w:rStyle w:val="Hyperlink"/>
            <w:sz w:val="20"/>
            <w:szCs w:val="20"/>
          </w:rPr>
          <w:t xml:space="preserve">IT Support Response Time Standards and Benchmarks</w:t>
        </w:r>
      </w:hyperlink>
      <w:r>
        <w:rPr>
          <w:sz w:val="20"/>
          <w:szCs w:val="20"/>
        </w:rPr>
        <w:t xml:space="preserve">  |  </w:t>
      </w:r>
      <w:hyperlink w:history="1" r:id="rId6zh48ya1cv6zcaatqtsa1">
        <w:r>
          <w:rPr>
            <w:rStyle w:val="Hyperlink"/>
            <w:sz w:val="20"/>
            <w:szCs w:val="20"/>
          </w:rPr>
          <w:t xml:space="preserve">Ticket Escalation: Best Practices in Field Service</w:t>
        </w:r>
      </w:hyperlink>
      <w:r>
        <w:rPr>
          <w:sz w:val="20"/>
          <w:szCs w:val="20"/>
        </w:rPr>
        <w:t xml:space="preserve">  |  </w:t>
      </w:r>
      <w:hyperlink w:history="1" r:id="rId1fo2mdhxdilnrvpne1tkc">
        <w:r>
          <w:rPr>
            <w:rStyle w:val="Hyperlink"/>
            <w:sz w:val="20"/>
            <w:szCs w:val="20"/>
          </w:rPr>
          <w:t xml:space="preserve">IT Ticket Resolution Cycle Time Benchmarks (OpsDog)</w:t>
        </w:r>
      </w:hyperlink>
    </w:p>
    <w:p>
      <w:pPr>
        <w:pBdr>
          <w:bottom w:val="single" w:color="999999" w:sz="6" w:space="1"/>
        </w:pBdr>
        <w:spacing w:after="200"/>
      </w:pPr>
    </w:p>
    <w:p>
      <w:pPr>
        <w:pStyle w:val="Heading1"/>
        <w:spacing w:after="150" w:before="300"/>
      </w:pPr>
      <w:r>
        <w:t xml:space="preserve">Meeting 5: Partnership Exploration — Commissary Platform Vendor</w:t>
      </w:r>
    </w:p>
    <w:p>
      <w:pPr>
        <w:spacing w:after="200"/>
        <w:rPr>
          <w:i/>
          <w:iCs/>
          <w:color w:val="666666"/>
          <w:sz w:val="20"/>
          <w:szCs w:val="20"/>
        </w:rPr>
      </w:pPr>
      <w:r>
        <w:t xml:space="preserve">Topics researched: commissary/communications platform market landscape (general, not the specific unnamed vendor); channel conflict</w:t>
      </w:r>
    </w:p>
    <w:p>
      <w:pPr>
        <w:pStyle w:val="Heading2"/>
        <w:spacing w:after="150" w:before="300"/>
      </w:pPr>
      <w:r>
        <w:t xml:space="preserve">Commissary &amp; Communications Platform Market Landscape</w:t>
      </w:r>
    </w:p>
    <w:p>
      <w:pPr>
        <w:spacing w:after="160"/>
      </w:pPr>
      <w:r>
        <w:rPr>
          <w:sz w:val="22"/>
          <w:szCs w:val="22"/>
        </w:rPr>
        <w:t xml:space="preserve">The prison/jail communications and commissary market is dominated by two large players controlling roughly 79% combined market share as of 2021: the largest provider (with subsidiary JPay) at approximately 42%, and ViaPath Technologies (formerly GTL) at approximately 37%. Smaller and regional vendors in adjacent commissary/care-package services include Summit (which delivers care packages via the Inmate Canteen platform) and TurnKey Corrections (commissary and communications software under its TEAM3 platform).</w:t>
      </w:r>
    </w:p>
    <w:p>
      <w:pPr>
        <w:spacing w:after="160"/>
      </w:pPr>
      <w:r>
        <w:rPr>
          <w:sz w:val="22"/>
          <w:szCs w:val="22"/>
        </w:rPr>
        <w:t xml:space="preserve">Note: this is general market context only. No attempt was made to identify the specific unnamed vendor from Meeting 5, per your direction.</w:t>
      </w:r>
    </w:p>
    <w:p>
      <w:pPr>
        <w:spacing w:after="200"/>
      </w:pPr>
      <w:hyperlink w:history="1" r:id="rIdq8aa-viulfm9sh20fnu7q">
        <w:r>
          <w:rPr>
            <w:rStyle w:val="Hyperlink"/>
            <w:sz w:val="20"/>
            <w:szCs w:val="20"/>
          </w:rPr>
          <w:t xml:space="preserve">Communication Services (AFSC Investigate)</w:t>
        </w:r>
      </w:hyperlink>
      <w:r>
        <w:rPr>
          <w:sz w:val="20"/>
          <w:szCs w:val="20"/>
        </w:rPr>
        <w:t xml:space="preserve">  |  </w:t>
      </w:r>
      <w:hyperlink w:history="1" r:id="rIdvj6rs-72rw_f4os1d-6d3">
        <w:r>
          <w:rPr>
            <w:rStyle w:val="Hyperlink"/>
            <w:sz w:val="20"/>
            <w:szCs w:val="20"/>
          </w:rPr>
          <w:t xml:space="preserve">Jail Technology (TurnKey Corrections)</w:t>
        </w:r>
      </w:hyperlink>
    </w:p>
    <w:p>
      <w:pPr>
        <w:pStyle w:val="Heading2"/>
        <w:spacing w:after="150" w:before="300"/>
      </w:pPr>
      <w:r>
        <w:t xml:space="preserve">Channel Conflict</w:t>
      </w:r>
    </w:p>
    <w:p>
      <w:pPr>
        <w:spacing w:after="160"/>
      </w:pPr>
      <w:r>
        <w:rPr>
          <w:sz w:val="22"/>
          <w:szCs w:val="22"/>
        </w:rPr>
        <w:t xml:space="preserve">Channel conflict occurs when two or more sales channels within the same ecosystem compete against each other for the same customer, deal, or territory, whether between an internal sales team and channel partners, or between different partners. Partnership agreements typically manage this by clearly defining scope (which products, which territories, which customer segments, which selling motions such as resale, referral, or co-sell), and by using formal deal registration, where partners register deals and receive exclusivity for a set window (commonly 30-90 days) with automated conflict detection to flag duplicates before disputes arise.</w:t>
      </w:r>
    </w:p>
    <w:p>
      <w:pPr>
        <w:spacing w:after="160"/>
      </w:pPr>
      <w:r>
        <w:rPr>
          <w:sz w:val="22"/>
          <w:szCs w:val="22"/>
        </w:rPr>
        <w:t xml:space="preserve">Relevance: Directly addresses the vendor's concern about overlap with shared facility clients. A clear scope definition plus a deal-registration process would be a reasonable framework to propose once technical integration feasibility is confirmed.</w:t>
      </w:r>
    </w:p>
    <w:p>
      <w:pPr>
        <w:spacing w:after="200"/>
      </w:pPr>
      <w:hyperlink w:history="1" r:id="rIdk5uv2z8nwixolu4wisuqd">
        <w:r>
          <w:rPr>
            <w:rStyle w:val="Hyperlink"/>
            <w:sz w:val="20"/>
            <w:szCs w:val="20"/>
          </w:rPr>
          <w:t xml:space="preserve">What is Channel Conflict? (Magentrix)</w:t>
        </w:r>
      </w:hyperlink>
      <w:r>
        <w:rPr>
          <w:sz w:val="20"/>
          <w:szCs w:val="20"/>
        </w:rPr>
        <w:t xml:space="preserve">  |  </w:t>
      </w:r>
      <w:hyperlink w:history="1" r:id="rIdqzyhpydhns5w3usowexon">
        <w:r>
          <w:rPr>
            <w:rStyle w:val="Hyperlink"/>
            <w:sz w:val="20"/>
            <w:szCs w:val="20"/>
          </w:rPr>
          <w:t xml:space="preserve">What Is Channel Conflict? (Impartner)</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86oqwnifdb5w-tp5qhog" Type="http://schemas.openxmlformats.org/officeDocument/2006/relationships/hyperlink" Target="https://www.ftc.gov/legal-library/browse/cases-proceedings/2123012-global-tel-link-corporation" TargetMode="External"/><Relationship Id="rIdcreiar5tmzjdbsypiuz-f" Type="http://schemas.openxmlformats.org/officeDocument/2006/relationships/hyperlink" Target="https://www.ftc.gov/system/files/ftc_gov/pdf/AgreementContainingConsent%20Order-GlobalTelLinkCorp.pdf" TargetMode="External"/><Relationship Id="rId9jvgjdf6hpyesi4-xdy62" Type="http://schemas.openxmlformats.org/officeDocument/2006/relationships/hyperlink" Target="https://www.consumerfinance.gov/enforcement/actions/global-tel-link-corp-et-al/" TargetMode="External"/><Relationship Id="rIddsk-ncoguiqrb2os20xvk" Type="http://schemas.openxmlformats.org/officeDocument/2006/relationships/hyperlink" Target="https://www.consumerfinance.gov/about-us/newsroom/cfpb-orders-global-tel-link-to-pay-3-million-for-illegally-freezing-and-draining-payments-accounts-for-people-who-are-incarcerated/" TargetMode="External"/><Relationship Id="rId9dafu81vgljju8jaexlss" Type="http://schemas.openxmlformats.org/officeDocument/2006/relationships/hyperlink" Target="https://itsupportauthority.com/it-support-response-time-standards/" TargetMode="External"/><Relationship Id="rIdfgonjx3_iycd2ktfww_zu" Type="http://schemas.openxmlformats.org/officeDocument/2006/relationships/hyperlink" Target="https://opsdog.com/products/cycle-time-it-support-ticket-resolution-unplanned" TargetMode="External"/><Relationship Id="rIdnn560wrqja1a2xvvkiyml" Type="http://schemas.openxmlformats.org/officeDocument/2006/relationships/hyperlink" Target="https://www.lexipol.com/resources/todays-tips/inmate-headcounts/" TargetMode="External"/><Relationship Id="rId-8fehoam-f1qccavoqmdd" Type="http://schemas.openxmlformats.org/officeDocument/2006/relationships/hyperlink" Target="https://prisonpedia.com/wiki/Daily_Schedules%2C_Counts%2C_and_Movement" TargetMode="External"/><Relationship Id="rIdxgiutauznbitskeeylhl_" Type="http://schemas.openxmlformats.org/officeDocument/2006/relationships/hyperlink" Target="https://www.unisys.com/blog-post/six-questions-to-help-set-up-an-effective-pilot-and-system-rollout/" TargetMode="External"/><Relationship Id="rId5mh7tk67q4fdtkqqlxxkc" Type="http://schemas.openxmlformats.org/officeDocument/2006/relationships/hyperlink" Target="https://worksuite.com/resources/insights/rollout-plans-big-bang-vs-pilot" TargetMode="External"/><Relationship Id="rId3k2eycxvijs5coid6qopo" Type="http://schemas.openxmlformats.org/officeDocument/2006/relationships/hyperlink" Target="https://correctionalnews.com/2025/12/01/a-year-of-progress-2025-correctional-trends-in-review/" TargetMode="External"/><Relationship Id="rIde1pkzireglnap8pemff8b" Type="http://schemas.openxmlformats.org/officeDocument/2006/relationships/hyperlink" Target="https://www.corrections1.com/products/software/inmate-tracking/articles/technology-in-corrections-increasing-efficiency-enhancing-safety-and-addressing-officer-retention-dTa7mpKZHT7TsOFe/" TargetMode="External"/><Relationship Id="rIdh-ge6xziaqmkdg8xckfj3" Type="http://schemas.openxmlformats.org/officeDocument/2006/relationships/hyperlink" Target="https://www.vera.org/publications/video-visitation-in-prison" TargetMode="External"/><Relationship Id="rIdkgqjfjd9qqnqv2tvllgcg" Type="http://schemas.openxmlformats.org/officeDocument/2006/relationships/hyperlink" Target="https://www.prisonpolicy.org/visitation/report.html" TargetMode="External"/><Relationship Id="rIdnoicxvy40spteu21iqhkf" Type="http://schemas.openxmlformats.org/officeDocument/2006/relationships/hyperlink" Target="https://www.techwire.net/news/state-corrections-seeks-millions-in-budget-change-proposals" TargetMode="External"/><Relationship Id="rId0kwplhqzhgc3pwipiuh-5" Type="http://schemas.openxmlformats.org/officeDocument/2006/relationships/hyperlink" Target="https://stateline.org/2025/02/13/states-debate-prison-spending-as-needs-grow-but-budgets-tighten/" TargetMode="External"/><Relationship Id="rIdhl7_i7wslmzvhtesa0i-6" Type="http://schemas.openxmlformats.org/officeDocument/2006/relationships/hyperlink" Target="https://corsicatech.com/blog/3-essential-cjis-certifications-for-a-third-party-vendor/" TargetMode="External"/><Relationship Id="rIdmbnw1k2myfwhbm9eq6zuh" Type="http://schemas.openxmlformats.org/officeDocument/2006/relationships/hyperlink" Target="https://thenetworkinstallers.com/blog/cjis-security-policy/" TargetMode="External"/><Relationship Id="rIdlw6tpj8mcfb7uvfxgpy90" Type="http://schemas.openxmlformats.org/officeDocument/2006/relationships/hyperlink" Target="https://www.vanta.com/resources/cjis-security-policy" TargetMode="External"/><Relationship Id="rIdskhmtnubtcrxtulanmibz" Type="http://schemas.openxmlformats.org/officeDocument/2006/relationships/hyperlink" Target="https://thrivenextgen.com/the-cjis-security-policy-areas-you-need-to-be-aware-of/" TargetMode="External"/><Relationship Id="rIdjuwb6x_od5tzsit3eswvk" Type="http://schemas.openxmlformats.org/officeDocument/2006/relationships/hyperlink" Target="https://itsupportauthority.com/it-support-response-time-standards/" TargetMode="External"/><Relationship Id="rId6zh48ya1cv6zcaatqtsa1" Type="http://schemas.openxmlformats.org/officeDocument/2006/relationships/hyperlink" Target="https://fieldservicesoftware.io/glossary/ticket-escalation/" TargetMode="External"/><Relationship Id="rId1fo2mdhxdilnrvpne1tkc" Type="http://schemas.openxmlformats.org/officeDocument/2006/relationships/hyperlink" Target="https://opsdog.com/products/cycle-time-it-support-ticket-resolution-unplanned" TargetMode="External"/><Relationship Id="rIdq8aa-viulfm9sh20fnu7q" Type="http://schemas.openxmlformats.org/officeDocument/2006/relationships/hyperlink" Target="https://investigate.afsc.org/tags/communication-services" TargetMode="External"/><Relationship Id="rIdvj6rs-72rw_f4os1d-6d3" Type="http://schemas.openxmlformats.org/officeDocument/2006/relationships/hyperlink" Target="https://www.turnkeycorrections.com/" TargetMode="External"/><Relationship Id="rIdk5uv2z8nwixolu4wisuqd" Type="http://schemas.openxmlformats.org/officeDocument/2006/relationships/hyperlink" Target="https://www.magentrix.com/glossary/channel-conflict" TargetMode="External"/><Relationship Id="rIdqzyhpydhns5w3usowexon" Type="http://schemas.openxmlformats.org/officeDocument/2006/relationships/hyperlink" Target="https://impartner.com/glossary/what-is-channel-conflict/"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2026-08-02T08:45:33.598Z</dcterms:created>
  <dcterms:modified xsi:type="dcterms:W3CDTF">2026-08-02T08:45:33.599Z</dcterms:modified>
</cp:coreProperties>
</file>

<file path=docProps/custom.xml><?xml version="1.0" encoding="utf-8"?>
<Properties xmlns="http://schemas.openxmlformats.org/officeDocument/2006/custom-properties" xmlns:vt="http://schemas.openxmlformats.org/officeDocument/2006/docPropsVTypes"/>
</file>