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840"/>
      </w:pPr>
      <w:r>
        <w:rPr>
          <w:b/>
          <w:color w:val="187F83"/>
          <w:sz w:val="20"/>
        </w:rPr>
        <w:t>DOSSIER DE RÉFÉRENCE</w:t>
      </w:r>
    </w:p>
    <w:p>
      <w:pPr>
        <w:pStyle w:val="Title"/>
        <w:spacing w:after="360"/>
      </w:pPr>
      <w:r>
        <w:t>Cartographie des capacités</w:t>
        <w:br/>
        <w:t>Beaumanoir</w:t>
      </w:r>
    </w:p>
    <w:p>
      <w:pPr>
        <w:pStyle w:val="Subtitle"/>
        <w:spacing w:after="560"/>
      </w:pPr>
      <w:r>
        <w:t>Cadrage • Existant • Responsabilités</w:t>
        <w:br/>
        <w:t>Exploration de la cible</w:t>
      </w:r>
    </w:p>
    <w:p>
      <w:pPr>
        <w:spacing w:after="360"/>
      </w:pPr>
      <w:r>
        <w:rPr>
          <w:b/>
          <w:sz w:val="24"/>
        </w:rPr>
        <w:t>Version 0.1  |  9 septembre 2026</w:t>
      </w:r>
    </w:p>
    <w:p>
      <w:pPr>
        <w:spacing w:after="600"/>
      </w:pPr>
      <w:r>
        <w:rPr>
          <w:sz w:val="24"/>
        </w:rPr>
        <w:t>Consolidation du fil de travail</w:t>
        <w:br/>
        <w:t>GBM approfondi ; BRD et Sarenza cadrés</w:t>
      </w:r>
    </w:p>
    <w:p>
      <w:pPr>
        <w:spacing w:after="160"/>
      </w:pPr>
      <w:r>
        <w:rPr>
          <w:b/>
          <w:color w:val="187F83"/>
          <w:sz w:val="26"/>
        </w:rPr>
        <w:t>Inclut le complément MAP / CBS</w:t>
      </w:r>
    </w:p>
    <w:p>
      <w:pPr>
        <w:spacing w:after="700"/>
      </w:pPr>
      <w:r>
        <w:rPr>
          <w:sz w:val="20"/>
        </w:rPr>
        <w:t>Prévisions et protections • Demandes d’achat • Suivi fournisseur</w:t>
        <w:br/>
        <w:t>Rééquilibrage « annule et remplace » • Vente sur stock et FIFO</w:t>
      </w:r>
    </w:p>
    <w:p>
      <w:pPr>
        <w:spacing w:after="120"/>
      </w:pPr>
      <w:r>
        <w:rPr>
          <w:b/>
          <w:sz w:val="20"/>
        </w:rPr>
        <w:t>Statut : base documentaire de travail</w:t>
      </w:r>
    </w:p>
    <w:p>
      <w:pPr>
        <w:spacing w:after="400"/>
      </w:pPr>
      <w:r>
        <w:rPr>
          <w:sz w:val="20"/>
        </w:rPr>
        <w:t>Les faits déclarés, confirmations, hypothèses et propositions sont distingués. La cartographie et l’architecture cible ne sont pas encore arbitrées.</w:t>
      </w:r>
    </w:p>
    <w:p>
      <w:r>
        <w:rPr>
          <w:color w:val="5C6872"/>
          <w:sz w:val="18"/>
        </w:rPr>
        <w:t>Connaissance métier : Laurent</w:t>
        <w:br/>
        <w:t>Consolidation et mise en forme : ChatGPT</w:t>
      </w:r>
    </w:p>
    <w:p>
      <w:pPr>
        <w:pStyle w:val="Heading1"/>
        <w:keepNext/>
        <w:pageBreakBefore/>
        <w:spacing w:after="240"/>
      </w:pPr>
      <w:r>
        <w:t>Repères de lecture</w:t>
      </w:r>
    </w:p>
    <w:p>
      <w:pPr>
        <w:spacing w:after="240"/>
      </w:pPr>
      <w:r>
        <w:rPr>
          <w:sz w:val="20"/>
        </w:rPr>
        <w:t>La numérotation renvoie aux chapitres. Les sources et registres permettent de retrouver l’origine et le statut des informations.</w:t>
      </w:r>
    </w:p>
    <w:p>
      <w:pPr>
        <w:spacing w:after="100"/>
      </w:pPr>
      <w:r>
        <w:rPr>
          <w:sz w:val="20"/>
        </w:rPr>
        <w:t>01 — Objet, portée et état de cette version</w:t>
      </w:r>
    </w:p>
    <w:p>
      <w:pPr>
        <w:spacing w:after="100"/>
      </w:pPr>
      <w:r>
        <w:rPr>
          <w:sz w:val="20"/>
        </w:rPr>
        <w:t>02 — Périmètre et frontières</w:t>
      </w:r>
    </w:p>
    <w:p>
      <w:pPr>
        <w:spacing w:after="100"/>
      </w:pPr>
      <w:r>
        <w:rPr>
          <w:sz w:val="20"/>
        </w:rPr>
        <w:t>03 — Démarche exploratoire et critères de convergence</w:t>
      </w:r>
    </w:p>
    <w:p>
      <w:pPr>
        <w:spacing w:after="100"/>
      </w:pPr>
      <w:r>
        <w:rPr>
          <w:sz w:val="20"/>
        </w:rPr>
        <w:t>04 — Références du marché : rôles et limites</w:t>
      </w:r>
    </w:p>
    <w:p>
      <w:pPr>
        <w:spacing w:after="100"/>
      </w:pPr>
      <w:r>
        <w:rPr>
          <w:sz w:val="20"/>
        </w:rPr>
        <w:t>05 — Trois paysages, trois contextes d’épreuve</w:t>
      </w:r>
    </w:p>
    <w:p>
      <w:pPr>
        <w:spacing w:after="100"/>
      </w:pPr>
      <w:r>
        <w:rPr>
          <w:sz w:val="20"/>
        </w:rPr>
        <w:t>06 — GBM : inventaire organisationnel et applicatif</w:t>
      </w:r>
    </w:p>
    <w:p>
      <w:pPr>
        <w:spacing w:after="100"/>
      </w:pPr>
      <w:r>
        <w:rPr>
          <w:sz w:val="20"/>
        </w:rPr>
        <w:t>07 — GBM : commande eCommerce et ship-from-store</w:t>
      </w:r>
    </w:p>
    <w:p>
      <w:pPr>
        <w:spacing w:after="100"/>
      </w:pPr>
      <w:r>
        <w:rPr>
          <w:sz w:val="20"/>
        </w:rPr>
        <w:t>08 — GBM : réassort, IRMA et transition SCORTEX</w:t>
      </w:r>
    </w:p>
    <w:p>
      <w:pPr>
        <w:spacing w:after="100"/>
      </w:pPr>
      <w:r>
        <w:rPr>
          <w:sz w:val="20"/>
        </w:rPr>
        <w:t>09 — GBM : MAP, CBS et rééquilibrage des allocations</w:t>
      </w:r>
    </w:p>
    <w:p>
      <w:pPr>
        <w:spacing w:after="100"/>
      </w:pPr>
      <w:r>
        <w:rPr>
          <w:sz w:val="20"/>
        </w:rPr>
        <w:t>10 — C-Log : contrat logistique et autonomie du SI</w:t>
      </w:r>
    </w:p>
    <w:p>
      <w:pPr>
        <w:spacing w:after="100"/>
      </w:pPr>
      <w:r>
        <w:rPr>
          <w:sz w:val="20"/>
        </w:rPr>
        <w:t>11 — Autorité sur l’information : état des connaissances</w:t>
      </w:r>
    </w:p>
    <w:p>
      <w:pPr>
        <w:spacing w:after="100"/>
      </w:pPr>
      <w:r>
        <w:rPr>
          <w:sz w:val="20"/>
        </w:rPr>
        <w:t>12 — Responsabilités de décision : état des connaissances</w:t>
      </w:r>
    </w:p>
    <w:p>
      <w:pPr>
        <w:spacing w:after="100"/>
      </w:pPr>
      <w:r>
        <w:rPr>
          <w:sz w:val="20"/>
        </w:rPr>
        <w:t>13 — Métamodèle de travail, vocabulaire et deux plateformes</w:t>
      </w:r>
    </w:p>
    <w:p>
      <w:pPr>
        <w:spacing w:after="100"/>
      </w:pPr>
      <w:r>
        <w:rPr>
          <w:sz w:val="20"/>
        </w:rPr>
        <w:t>14 — Décisions acquises, corrections et réserves</w:t>
      </w:r>
    </w:p>
    <w:p>
      <w:pPr>
        <w:spacing w:after="100"/>
      </w:pPr>
      <w:r>
        <w:rPr>
          <w:sz w:val="20"/>
        </w:rPr>
        <w:t>15 — Catalogue candidat et exploration cible</w:t>
      </w:r>
    </w:p>
    <w:p>
      <w:pPr>
        <w:spacing w:after="100"/>
      </w:pPr>
      <w:r>
        <w:rPr>
          <w:sz w:val="20"/>
        </w:rPr>
        <w:t>16 — Questions ouvertes et suite de l’exploration</w:t>
      </w:r>
    </w:p>
    <w:p>
      <w:pPr>
        <w:spacing w:after="100"/>
      </w:pPr>
      <w:r>
        <w:rPr>
          <w:sz w:val="20"/>
        </w:rPr>
        <w:t>17 — Sources, contrôle d’exhaustivité et gestion des versions</w:t>
      </w:r>
    </w:p>
    <w:p>
      <w:pPr>
        <w:pStyle w:val="Heading2"/>
        <w:keepNext/>
        <w:spacing w:after="120"/>
      </w:pPr>
      <w:r>
        <w:t>Pièces du dossier complet</w:t>
      </w:r>
    </w:p>
    <w:p>
      <w:pPr>
        <w:spacing w:after="100"/>
      </w:pPr>
      <w:r>
        <w:rPr>
          <w:sz w:val="19"/>
        </w:rPr>
        <w:t>01_documentation : dossier Word, PDF et Markdown.</w:t>
        <w:br/>
        <w:t>02_sources : verbatim utilisateur, interventions assistant consolidées, bibliographie.</w:t>
        <w:br/>
        <w:t>03_registres : référentiel JSON et vues Markdown.</w:t>
        <w:br/>
        <w:t>04_version_et_controles : couverture, version et contrôle d’intégrité.</w:t>
      </w:r>
    </w:p>
    <w:p>
      <w:pPr>
        <w:pStyle w:val="Heading1"/>
        <w:keepNext/>
        <w:pageBreakBefore/>
        <w:spacing w:before="360"/>
      </w:pPr>
      <w:r>
        <w:rPr>
          <w:b w:val="0"/>
          <w:i w:val="0"/>
        </w:rPr>
        <w:t>01 — Objet, portée et état de cette version</w:t>
      </w:r>
    </w:p>
    <w:p>
      <w:pPr/>
      <w:r>
        <w:rPr>
          <w:b w:val="0"/>
          <w:i w:val="0"/>
        </w:rPr>
        <w:t xml:space="preserve">Ce dossier consolide le fil de travail consacré à la cartographie des Business Capabilities du système organisationnel Beaumanoir. Il reprend le cadrage initial, les descriptions des trois paysages, l’exploration détaillée de GBM, les corrections de Laurent et les propositions successives de modélisation. Le complément </w:t>
      </w:r>
      <w:r>
        <w:rPr>
          <w:b/>
          <w:i w:val="0"/>
        </w:rPr>
        <w:t>« Autre complément GBM important »</w:t>
      </w:r>
      <w:r>
        <w:rPr>
          <w:b w:val="0"/>
          <w:i w:val="0"/>
        </w:rPr>
        <w:t xml:space="preserve"> est traité intégralement : MAP, CBS, protections, demandes d’achat, trois cas de rééquilibrage et FIFO. </w:t>
      </w:r>
      <w:r>
        <w:rPr>
          <w:b w:val="0"/>
          <w:i w:val="0"/>
        </w:rPr>
        <w:t>[</w:t>
      </w:r>
      <w:r>
        <w:rPr>
          <w:b w:val="0"/>
          <w:i w:val="0"/>
        </w:rPr>
        <w:t>U01–U13]</w:t>
      </w:r>
    </w:p>
    <w:p>
      <w:pPr/>
      <w:r>
        <w:rPr>
          <w:b/>
          <w:i w:val="0"/>
        </w:rPr>
        <w:t>Ce document est une base de connaissance versionnée, pas la cartographie finale ni une architecture cible approuvée.</w:t>
      </w:r>
      <w:r>
        <w:rPr>
          <w:b w:val="0"/>
          <w:i w:val="0"/>
        </w:rPr>
        <w:t xml:space="preserve"> L’exhaustivité porte sur les informations du fil disponible, non sur l’ensemble du fonctionnement réel des trois SI. Une fonction non décrite n’est pas déclarée absente. Aucun fonctionnement interne n’est certifié par un audit technique indépendant.</w:t>
      </w:r>
    </w:p>
    <w:p>
      <w:pPr/>
      <w:r>
        <w:rPr>
          <w:b w:val="0"/>
          <w:i w:val="0"/>
        </w:rPr>
        <w:t xml:space="preserve">L’unité de travail reste la </w:t>
      </w:r>
      <w:r>
        <w:rPr>
          <w:b/>
          <w:i w:val="0"/>
        </w:rPr>
        <w:t>capacité métier</w:t>
      </w:r>
      <w:r>
        <w:rPr>
          <w:b w:val="0"/>
          <w:i w:val="0"/>
        </w:rPr>
        <w:t xml:space="preserve"> : ce que l’organisation doit savoir faire et le résultat qu’elle doit obtenir. L’autorité sur les informations et la responsabilité des décisions doivent éclairer sa définition, son découpage et ses réalisations, à un niveau pertinent restant à éprouver. Il ne s’agit pas de « recentrer » la carte sur des données ou des décisions. </w:t>
      </w:r>
      <w:r>
        <w:rPr>
          <w:b w:val="0"/>
          <w:i w:val="0"/>
        </w:rPr>
        <w:t>[</w:t>
      </w:r>
      <w:r>
        <w:rPr>
          <w:b w:val="0"/>
          <w:i w:val="0"/>
        </w:rPr>
        <w:t>U07 ; U09]</w:t>
      </w:r>
    </w:p>
    <w:p>
      <w:pPr>
        <w:pStyle w:val="Heading2"/>
        <w:keepNext/>
      </w:pPr>
      <w:r>
        <w:rPr>
          <w:b w:val="0"/>
          <w:i w:val="0"/>
        </w:rPr>
        <w:t>Quatre usages à satisfaire</w:t>
      </w:r>
    </w:p>
    <w:tbl>
      <w:tblPr>
        <w:tblStyle w:val="TableGrid"/>
        <w:tblW w:type="auto" w:w="0"/>
        <w:jc w:val="center"/>
        <w:tblLayout w:type="fixed"/>
        <w:tblLook w:firstColumn="1" w:firstRow="1" w:lastColumn="0" w:lastRow="0" w:noHBand="0" w:noVBand="1" w:val="04A0"/>
        <w:tblBorders>
          <w:top w:val="single" w:sz="4" w:color="D8E2E7"/>
          <w:left w:val="single" w:sz="4" w:color="D8E2E7"/>
          <w:bottom w:val="single" w:sz="4" w:color="D8E2E7"/>
          <w:right w:val="single" w:sz="4" w:color="D8E2E7"/>
          <w:insideH w:val="single" w:sz="4" w:color="D8E2E7"/>
          <w:insideV w:val="single" w:sz="4" w:color="D8E2E7"/>
        </w:tblBorders>
      </w:tblPr>
      <w:tblGrid>
        <w:gridCol w:w="2665"/>
        <w:gridCol w:w="7143"/>
      </w:tblGrid>
      <w:tr>
        <w:trPr>
          <w:cantSplit/>
          <w:tblHeader w:val="true"/>
        </w:trPr>
        <w:tc>
          <w:tcPr>
            <w:tcW w:type="dxa" w:w="2665"/>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Usage</w:t>
            </w:r>
          </w:p>
        </w:tc>
        <w:tc>
          <w:tcPr>
            <w:tcW w:type="dxa" w:w="7143"/>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Résultat attendu</w:t>
            </w:r>
          </w:p>
        </w:tc>
      </w:tr>
      <w:tr>
        <w:trPr>
          <w:cantSplit/>
        </w:trPr>
        <w:tc>
          <w:tcPr>
            <w:tcW w:type="dxa" w:w="2665"/>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Répertorier l’existant</w:t>
            </w:r>
          </w:p>
        </w:tc>
        <w:tc>
          <w:tcPr>
            <w:tcW w:type="dxa" w:w="7143"/>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Décrire des réalisations hétérogènes et anciennes sans en reproduire les silos dans la nomenclature.</w:t>
            </w:r>
          </w:p>
        </w:tc>
      </w:tr>
      <w:tr>
        <w:trPr>
          <w:cantSplit/>
        </w:trPr>
        <w:tc>
          <w:tcPr>
            <w:tcW w:type="dxa" w:w="2665"/>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Comparer les contextes</w:t>
            </w:r>
          </w:p>
        </w:tc>
        <w:tc>
          <w:tcPr>
            <w:tcW w:type="dxa" w:w="7143"/>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Rendre visibles les différences entre marques, canaux, modèles commerciaux, situations et SI.</w:t>
            </w:r>
          </w:p>
        </w:tc>
      </w:tr>
      <w:tr>
        <w:trPr>
          <w:cantSplit/>
        </w:trPr>
        <w:tc>
          <w:tcPr>
            <w:tcW w:type="dxa" w:w="2665"/>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Préparer la modernisation</w:t>
            </w:r>
          </w:p>
        </w:tc>
        <w:tc>
          <w:tcPr>
            <w:tcW w:type="dxa" w:w="7143"/>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Accueillir plusieurs projections de responsabilités et de solutions, sans imposer SAP, FLOW ou une architecture de services particulière.</w:t>
            </w:r>
          </w:p>
        </w:tc>
      </w:tr>
      <w:tr>
        <w:trPr>
          <w:cantSplit/>
        </w:trPr>
        <w:tc>
          <w:tcPr>
            <w:tcW w:type="dxa" w:w="2665"/>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Faciliter la convergence</w:t>
            </w:r>
          </w:p>
        </w:tc>
        <w:tc>
          <w:tcPr>
            <w:tcW w:type="dxa" w:w="7143"/>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Identifier ce qui peut devenir commun, ce qui reste contextuel et les contrats de responsabilité avec les SI autonomes, notamment C-Log.</w:t>
            </w:r>
          </w:p>
        </w:tc>
      </w:tr>
    </w:tbl>
    <w:p>
      <w:pPr>
        <w:pStyle w:val="Heading2"/>
        <w:keepNext/>
      </w:pPr>
      <w:r>
        <w:rPr>
          <w:b w:val="0"/>
          <w:i w:val="0"/>
        </w:rPr>
        <w:t>Ce qui est livré et comment le lire</w:t>
      </w:r>
    </w:p>
    <w:p>
      <w:pPr/>
      <w:r>
        <w:rPr>
          <w:b w:val="0"/>
          <w:i w:val="0"/>
        </w:rPr>
        <w:t>Le dossier principal existe en Word, PDF et Markdown. Le paquet complet contient aussi le verbatim des treize contributions utilisateur, la consolidation des neuf interventions substantielles de l’assistant, le référentiel structuré JSON et des registres Markdown lisibles sans outil particulier.</w:t>
      </w:r>
    </w:p>
    <w:p>
      <w:pPr/>
      <w:r>
        <w:rPr>
          <w:b w:val="0"/>
          <w:i w:val="0"/>
        </w:rPr>
        <w:t xml:space="preserve">Les identifiants </w:t>
      </w:r>
      <w:r>
        <w:rPr>
          <w:b/>
          <w:i w:val="0"/>
        </w:rPr>
        <w:t>U</w:t>
      </w:r>
      <w:r>
        <w:rPr>
          <w:b w:val="0"/>
          <w:i w:val="0"/>
        </w:rPr>
        <w:t xml:space="preserve"> désignent les contributions de Laurent ; </w:t>
      </w:r>
      <w:r>
        <w:rPr>
          <w:b/>
          <w:i w:val="0"/>
        </w:rPr>
        <w:t>A</w:t>
      </w:r>
      <w:r>
        <w:rPr>
          <w:b w:val="0"/>
          <w:i w:val="0"/>
        </w:rPr>
        <w:t xml:space="preserve">, les interventions assistant consolidées ; </w:t>
      </w:r>
      <w:r>
        <w:rPr>
          <w:b/>
          <w:i w:val="0"/>
        </w:rPr>
        <w:t>F</w:t>
      </w:r>
      <w:r>
        <w:rPr>
          <w:b w:val="0"/>
          <w:i w:val="0"/>
        </w:rPr>
        <w:t xml:space="preserve">, les faits/exigences déclarés ; </w:t>
      </w:r>
      <w:r>
        <w:rPr>
          <w:b/>
          <w:i w:val="0"/>
        </w:rPr>
        <w:t>P</w:t>
      </w:r>
      <w:r>
        <w:rPr>
          <w:b w:val="0"/>
          <w:i w:val="0"/>
        </w:rPr>
        <w:t xml:space="preserve">, les propositions ; </w:t>
      </w:r>
      <w:r>
        <w:rPr>
          <w:b/>
          <w:i w:val="0"/>
        </w:rPr>
        <w:t>C</w:t>
      </w:r>
      <w:r>
        <w:rPr>
          <w:b w:val="0"/>
          <w:i w:val="0"/>
        </w:rPr>
        <w:t xml:space="preserve">, les corrections ; </w:t>
      </w:r>
      <w:r>
        <w:rPr>
          <w:b/>
          <w:i w:val="0"/>
        </w:rPr>
        <w:t>Q</w:t>
      </w:r>
      <w:r>
        <w:rPr>
          <w:b w:val="0"/>
          <w:i w:val="0"/>
        </w:rPr>
        <w:t xml:space="preserve">, les questions ; </w:t>
      </w:r>
      <w:r>
        <w:rPr>
          <w:b/>
          <w:i w:val="0"/>
        </w:rPr>
        <w:t>R</w:t>
      </w:r>
      <w:r>
        <w:rPr>
          <w:b w:val="0"/>
          <w:i w:val="0"/>
        </w:rPr>
        <w:t xml:space="preserve">, les références externes. Les matrices </w:t>
      </w:r>
      <w:r>
        <w:rPr>
          <w:b/>
          <w:i w:val="0"/>
        </w:rPr>
        <w:t>INF</w:t>
      </w:r>
      <w:r>
        <w:rPr>
          <w:b w:val="0"/>
          <w:i w:val="0"/>
        </w:rPr>
        <w:t xml:space="preserve">, </w:t>
      </w:r>
      <w:r>
        <w:rPr>
          <w:b/>
          <w:i w:val="0"/>
        </w:rPr>
        <w:t>DEC</w:t>
      </w:r>
      <w:r>
        <w:rPr>
          <w:b w:val="0"/>
          <w:i w:val="0"/>
        </w:rPr>
        <w:t xml:space="preserve">, </w:t>
      </w:r>
      <w:r>
        <w:rPr>
          <w:b/>
          <w:i w:val="0"/>
        </w:rPr>
        <w:t>FL</w:t>
      </w:r>
      <w:r>
        <w:rPr>
          <w:b w:val="0"/>
          <w:i w:val="0"/>
        </w:rPr>
        <w:t xml:space="preserve"> et </w:t>
      </w:r>
      <w:r>
        <w:rPr>
          <w:b/>
          <w:i w:val="0"/>
        </w:rPr>
        <w:t>CAP</w:t>
      </w:r>
      <w:r>
        <w:rPr>
          <w:b w:val="0"/>
          <w:i w:val="0"/>
        </w:rPr>
        <w:t xml:space="preserve"> sont des vues d’analyse reliées aux sources. Les regroupements des capacités candidates ne constituent pas des domaines validés.</w:t>
      </w:r>
    </w:p>
    <w:tbl>
      <w:tblPr>
        <w:tblStyle w:val="TableGrid"/>
        <w:tblW w:type="auto" w:w="0"/>
        <w:jc w:val="center"/>
        <w:tblLayout w:type="fixed"/>
        <w:tblLook w:firstColumn="1" w:firstRow="1" w:lastColumn="0" w:lastRow="0" w:noHBand="0" w:noVBand="1" w:val="04A0"/>
        <w:tblBorders>
          <w:top w:val="single" w:sz="4" w:color="D8E2E7"/>
          <w:left w:val="single" w:sz="4" w:color="D8E2E7"/>
          <w:bottom w:val="single" w:sz="4" w:color="D8E2E7"/>
          <w:right w:val="single" w:sz="4" w:color="D8E2E7"/>
          <w:insideH w:val="single" w:sz="4" w:color="D8E2E7"/>
          <w:insideV w:val="single" w:sz="4" w:color="D8E2E7"/>
        </w:tblBorders>
      </w:tblPr>
      <w:tblGrid>
        <w:gridCol w:w="2665"/>
        <w:gridCol w:w="7143"/>
      </w:tblGrid>
      <w:tr>
        <w:trPr>
          <w:cantSplit/>
          <w:tblHeader w:val="true"/>
        </w:trPr>
        <w:tc>
          <w:tcPr>
            <w:tcW w:type="dxa" w:w="2665"/>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État documentaire</w:t>
            </w:r>
          </w:p>
        </w:tc>
        <w:tc>
          <w:tcPr>
            <w:tcW w:type="dxa" w:w="7143"/>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Règle de lecture</w:t>
            </w:r>
          </w:p>
        </w:tc>
      </w:tr>
      <w:tr>
        <w:trPr>
          <w:cantSplit/>
        </w:trPr>
        <w:tc>
          <w:tcPr>
            <w:tcW w:type="dxa" w:w="2665"/>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Déclaré par Laurent</w:t>
            </w:r>
          </w:p>
        </w:tc>
        <w:tc>
          <w:tcPr>
            <w:tcW w:type="dxa" w:w="7143"/>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Description de l’existant fournie dans le fil ; ni test d’intégration ni preuve de paramétrage.</w:t>
            </w:r>
          </w:p>
        </w:tc>
      </w:tr>
      <w:tr>
        <w:trPr>
          <w:cantSplit/>
        </w:trPr>
        <w:tc>
          <w:tcPr>
            <w:tcW w:type="dxa" w:w="2665"/>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Confirmé explicitement</w:t>
            </w:r>
          </w:p>
        </w:tc>
        <w:tc>
          <w:tcPr>
            <w:tcW w:type="dxa" w:w="7143"/>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Réponse ou correction explicite, par exemple annulation magasin, SCORTEX ou KBRW/Crossroad.</w:t>
            </w:r>
          </w:p>
        </w:tc>
      </w:tr>
      <w:tr>
        <w:trPr>
          <w:cantSplit/>
        </w:trPr>
        <w:tc>
          <w:tcPr>
            <w:tcW w:type="dxa" w:w="2665"/>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Hypothèse / incertitude</w:t>
            </w:r>
          </w:p>
        </w:tc>
        <w:tc>
          <w:tcPr>
            <w:tcW w:type="dxa" w:w="7143"/>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Qualification conservée : MAP sur Snowflake ; délai d’escalade dans la journée.</w:t>
            </w:r>
          </w:p>
        </w:tc>
      </w:tr>
      <w:tr>
        <w:trPr>
          <w:cantSplit/>
        </w:trPr>
        <w:tc>
          <w:tcPr>
            <w:tcW w:type="dxa" w:w="2665"/>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Proposition de travail</w:t>
            </w:r>
          </w:p>
        </w:tc>
        <w:tc>
          <w:tcPr>
            <w:tcW w:type="dxa" w:w="7143"/>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Interprétation, vocabulaire, capacité candidate, méthode détaillée ou option cible non validés implicitement.</w:t>
            </w:r>
          </w:p>
        </w:tc>
      </w:tr>
      <w:tr>
        <w:trPr>
          <w:cantSplit/>
        </w:trPr>
        <w:tc>
          <w:tcPr>
            <w:tcW w:type="dxa" w:w="2665"/>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Référence externe</w:t>
            </w:r>
          </w:p>
        </w:tc>
        <w:tc>
          <w:tcPr>
            <w:tcW w:type="dxa" w:w="7143"/>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Source de méthode ou de produit ; ne démontre pas l’usage effectif dans un SI Beaumanoir.</w:t>
            </w:r>
          </w:p>
        </w:tc>
      </w:tr>
    </w:tbl>
    <w:p>
      <w:pPr>
        <w:spacing w:before="60"/>
      </w:pPr>
      <w:r>
        <w:rPr>
          <w:b w:val="0"/>
          <w:i/>
          <w:color w:val="5C6872"/>
          <w:sz w:val="18"/>
        </w:rPr>
        <w:t>Sources et statut : U01, U07, U09, U11–U13 ; F001–F018 ; P01, P13, P51–P52. Les propositions restent distinguées des décisions utilisateur.</w:t>
      </w:r>
    </w:p>
    <w:p>
      <w:pPr>
        <w:pStyle w:val="Heading1"/>
        <w:keepNext/>
        <w:spacing w:before="360"/>
      </w:pPr>
      <w:r>
        <w:rPr>
          <w:b w:val="0"/>
          <w:i w:val="0"/>
        </w:rPr>
        <w:t>02 — Périmètre et frontières</w:t>
      </w:r>
    </w:p>
    <w:p>
      <w:pPr/>
      <w:r>
        <w:rPr>
          <w:b w:val="0"/>
          <w:i w:val="0"/>
        </w:rPr>
        <w:t xml:space="preserve">Le périmètre demandé est le cœur opérationnel de l’ERP commerce et ses référentiels associés : commandes d’achat, commandes de vente, service après-vente, stocks et allocations. Les exclusions initiales sont maintenues : finance, contrôle de gestion et conformité comme domaines post-op ; conception des produits et planification de saison comme domaines amont. </w:t>
      </w:r>
      <w:r>
        <w:rPr>
          <w:b w:val="0"/>
          <w:i w:val="0"/>
        </w:rPr>
        <w:t>[</w:t>
      </w:r>
      <w:r>
        <w:rPr>
          <w:b w:val="0"/>
          <w:i w:val="0"/>
        </w:rPr>
        <w:t>U01]</w:t>
      </w:r>
    </w:p>
    <w:p>
      <w:pPr/>
      <w:r>
        <w:rPr>
          <w:b/>
          <w:i w:val="0"/>
        </w:rPr>
        <w:t>Décrire une dépendance n’intègre pas automatiquement son domaine dans la cible.</w:t>
      </w:r>
      <w:r>
        <w:rPr>
          <w:b w:val="0"/>
          <w:i w:val="0"/>
        </w:rPr>
        <w:t xml:space="preserve"> Cette règle est particulièrement importante pour MAP, les opérations documentaires de CBS et la logistique C-Log. Le périmètre observé pour comprendre les responsabilités peut dépasser le périmètre à refondre.</w:t>
      </w:r>
    </w:p>
    <w:tbl>
      <w:tblPr>
        <w:tblStyle w:val="TableGrid"/>
        <w:tblW w:type="auto" w:w="0"/>
        <w:jc w:val="center"/>
        <w:tblLayout w:type="fixed"/>
        <w:tblLook w:firstColumn="1" w:firstRow="1" w:lastColumn="0" w:lastRow="0" w:noHBand="0" w:noVBand="1" w:val="04A0"/>
        <w:tblBorders>
          <w:top w:val="single" w:sz="4" w:color="D8E2E7"/>
          <w:left w:val="single" w:sz="4" w:color="D8E2E7"/>
          <w:bottom w:val="single" w:sz="4" w:color="D8E2E7"/>
          <w:right w:val="single" w:sz="4" w:color="D8E2E7"/>
          <w:insideH w:val="single" w:sz="4" w:color="D8E2E7"/>
          <w:insideV w:val="single" w:sz="4" w:color="D8E2E7"/>
        </w:tblBorders>
      </w:tblPr>
      <w:tblGrid>
        <w:gridCol w:w="2268"/>
        <w:gridCol w:w="2948"/>
        <w:gridCol w:w="4592"/>
      </w:tblGrid>
      <w:tr>
        <w:trPr>
          <w:cantSplit/>
          <w:tblHeader w:val="true"/>
        </w:trPr>
        <w:tc>
          <w:tcPr>
            <w:tcW w:type="dxa" w:w="2268"/>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Frontière</w:t>
            </w:r>
          </w:p>
        </w:tc>
        <w:tc>
          <w:tcPr>
            <w:tcW w:type="dxa" w:w="2948"/>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À représenter dans la discussion</w:t>
            </w:r>
          </w:p>
        </w:tc>
        <w:tc>
          <w:tcPr>
            <w:tcW w:type="dxa" w:w="4592"/>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Ce qui n’est pas réintégré implicitement</w:t>
            </w:r>
          </w:p>
        </w:tc>
      </w:tr>
      <w:tr>
        <w:trPr>
          <w:cantSplit/>
        </w:trPr>
        <w:tc>
          <w:tcPr>
            <w:tcW w:type="dxa" w:w="226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Articles</w:t>
            </w:r>
          </w:p>
        </w:tc>
        <w:tc>
          <w:tcPr>
            <w:tcW w:type="dxa" w:w="294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Article achetable, vendable et stockable ; intégration de catalogues existants.</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Design produit et construction de collection.</w:t>
            </w:r>
          </w:p>
        </w:tc>
      </w:tr>
      <w:tr>
        <w:trPr>
          <w:cantSplit/>
        </w:trPr>
        <w:tc>
          <w:tcPr>
            <w:tcW w:type="dxa" w:w="226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Achats</w:t>
            </w:r>
          </w:p>
        </w:tc>
        <w:tc>
          <w:tcPr>
            <w:tcW w:type="dxa" w:w="294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Demande et engagement d’achat, suivi opérationnel, dépendances de fabrication/livraison.</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Toute la planification de saison.</w:t>
            </w:r>
          </w:p>
        </w:tc>
      </w:tr>
      <w:tr>
        <w:trPr>
          <w:cantSplit/>
        </w:trPr>
        <w:tc>
          <w:tcPr>
            <w:tcW w:type="dxa" w:w="226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Réassort</w:t>
            </w:r>
          </w:p>
        </w:tc>
        <w:tc>
          <w:tcPr>
            <w:tcW w:type="dxa" w:w="294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Paramètres opérationnels, seuils et déclenchement d’approvisionnement magasin.</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Tout le pilotage analytique au seul motif qu’IRMA utilise Snowflake.</w:t>
            </w:r>
          </w:p>
        </w:tc>
      </w:tr>
      <w:tr>
        <w:trPr>
          <w:cantSplit/>
        </w:trPr>
        <w:tc>
          <w:tcPr>
            <w:tcW w:type="dxa" w:w="226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MAP</w:t>
            </w:r>
          </w:p>
        </w:tc>
        <w:tc>
          <w:tcPr>
            <w:tcW w:type="dxa" w:w="294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Résultats transmis au système opérant : protections, anticipations de stockage, demandes d’achat.</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La totalité du forecast comme domaine du futur ERP.</w:t>
            </w:r>
          </w:p>
        </w:tc>
      </w:tr>
      <w:tr>
        <w:trPr>
          <w:cantSplit/>
        </w:trPr>
        <w:tc>
          <w:tcPr>
            <w:tcW w:type="dxa" w:w="226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SAV</w:t>
            </w:r>
          </w:p>
        </w:tc>
        <w:tc>
          <w:tcPr>
            <w:tcW w:type="dxa" w:w="294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Réclamation, retour, échange, décision commerciale et effets opérationnels.</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Exécution financière et comptabilisation du remboursement.</w:t>
            </w:r>
          </w:p>
        </w:tc>
      </w:tr>
      <w:tr>
        <w:trPr>
          <w:cantSplit/>
        </w:trPr>
        <w:tc>
          <w:tcPr>
            <w:tcW w:type="dxa" w:w="226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Documents et douanes</w:t>
            </w:r>
          </w:p>
        </w:tc>
        <w:tc>
          <w:tcPr>
            <w:tcW w:type="dxa" w:w="294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Pièces nécessaires aux opérations, transmission, suivi et statuts bloquants à délimiter.</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Définition des règles réglementaires, audit et pilotage global de conformité.</w:t>
            </w:r>
          </w:p>
        </w:tc>
      </w:tr>
      <w:tr>
        <w:trPr>
          <w:cantSplit/>
        </w:trPr>
        <w:tc>
          <w:tcPr>
            <w:tcW w:type="dxa" w:w="226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C-Log</w:t>
            </w:r>
          </w:p>
        </w:tc>
        <w:tc>
          <w:tcPr>
            <w:tcW w:type="dxa" w:w="294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Demandes, informations, choix délégués, engagements et retours de résultat.</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Absorption de son SI ou cartographie détaillée imposée de tous ses WMS/TMS.</w:t>
            </w:r>
          </w:p>
        </w:tc>
      </w:tr>
    </w:tbl>
    <w:p>
      <w:pPr>
        <w:pStyle w:val="Heading2"/>
        <w:keepNext/>
      </w:pPr>
      <w:r>
        <w:rPr>
          <w:b w:val="0"/>
          <w:i w:val="0"/>
        </w:rPr>
        <w:t>Frontières encore ouvertes</w:t>
      </w:r>
    </w:p>
    <w:p>
      <w:pPr/>
      <w:r>
        <w:rPr>
          <w:b w:val="0"/>
          <w:i w:val="0"/>
        </w:rPr>
        <w:t>La facturation commerciale, l’encaissement et le point de passage entre décision de remboursement et exécution financière ont été identifiés comme sujets à positionner, pas comme inclusions actées. Un achat à livraison lointaine n’est pas automatiquement de la planification de saison ; inversement, une fonction MAP de planification ne devient pas opérationnelle simplement parce qu’un système en consomme le résultat.</w:t>
      </w:r>
    </w:p>
    <w:p>
      <w:pPr/>
      <w:r>
        <w:rPr>
          <w:b w:val="0"/>
          <w:i w:val="0"/>
        </w:rPr>
        <w:t>Le suivi de fabrication ou de livraison amont par CBS est décrit pour comprendre les opérations d’achat. Le détail de la production fournisseur, du transport et de la douane n’est pas transformé en programme de remplacement de ces systèmes. Le dossier n’émet pas d’avis juridique sur les formalités.</w:t>
      </w:r>
    </w:p>
    <w:p>
      <w:pPr/>
      <w:r>
        <w:rPr>
          <w:b w:val="0"/>
          <w:i w:val="0"/>
        </w:rPr>
        <w:t xml:space="preserve">Pour le modèle futur, l’information « exigence documentaire satisfaite » peut être utilisée par un traitement sans que ce traitement porte toute l’expertise ayant produit cette exigence. Cette distinction est une proposition d’urbanisation à éprouver. </w:t>
      </w:r>
      <w:r>
        <w:rPr>
          <w:b w:val="0"/>
          <w:i w:val="0"/>
        </w:rPr>
        <w:t>[</w:t>
      </w:r>
      <w:r>
        <w:rPr>
          <w:b w:val="0"/>
          <w:i w:val="0"/>
        </w:rPr>
        <w:t>P30 ; P53]</w:t>
      </w:r>
    </w:p>
    <w:p>
      <w:pPr>
        <w:spacing w:before="60"/>
      </w:pPr>
      <w:r>
        <w:rPr>
          <w:b w:val="0"/>
          <w:i/>
          <w:color w:val="5C6872"/>
          <w:sz w:val="18"/>
        </w:rPr>
        <w:t>Sources et statut : U01, U03, U06, U07, U10 ; C13, C21, C26 ; Q004–Q006. Les limites de C-Log sont explicitement fixées par Laurent ; les autres délimitations détaillées restent proposées.</w:t>
      </w:r>
    </w:p>
    <w:p>
      <w:pPr>
        <w:pStyle w:val="Heading1"/>
        <w:keepNext/>
        <w:spacing w:before="360"/>
      </w:pPr>
      <w:r>
        <w:rPr>
          <w:b w:val="0"/>
          <w:i w:val="0"/>
        </w:rPr>
        <w:t>03 — Démarche exploratoire et critères de convergence</w:t>
      </w:r>
    </w:p>
    <w:p>
      <w:pPr/>
      <w:r>
        <w:rPr>
          <w:b w:val="0"/>
          <w:i w:val="0"/>
        </w:rPr>
        <w:t xml:space="preserve">Laurent a approuvé le principe d’une démarche itérative : ouvrir des options, les comparer et les refermer progressivement avant le livrable final. L’accord ne vaut pas validation automatique de tous les intitulés proposés par l’assistant. </w:t>
      </w:r>
      <w:r>
        <w:rPr>
          <w:b w:val="0"/>
          <w:i w:val="0"/>
        </w:rPr>
        <w:t>[</w:t>
      </w:r>
      <w:r>
        <w:rPr>
          <w:b w:val="0"/>
          <w:i w:val="0"/>
        </w:rPr>
        <w:t>U01 ; U02]</w:t>
      </w:r>
    </w:p>
    <w:p>
      <w:pPr/>
      <w:r>
        <w:rPr>
          <w:b w:val="0"/>
          <w:i w:val="0"/>
        </w:rPr>
        <w:t xml:space="preserve">La base commune doit séparer trois objets : le modèle de capacités organisationnelles, les réalisations de l’existant, puis les scénarios de convergence. Une capacité doit pouvoir garder son identité si son logiciel ou son organisation change. Les relations avec produits, équipes, processus, objets de données et services sont à documenter ; aucune bijection n’est imposée. </w:t>
      </w:r>
      <w:r>
        <w:rPr>
          <w:b w:val="0"/>
          <w:i w:val="0"/>
        </w:rPr>
        <w:t>[</w:t>
      </w:r>
      <w:r>
        <w:rPr>
          <w:b w:val="0"/>
          <w:i w:val="0"/>
        </w:rPr>
        <w:t>P01–P02]</w:t>
      </w:r>
    </w:p>
    <w:tbl>
      <w:tblPr>
        <w:tblStyle w:val="TableGrid"/>
        <w:tblW w:type="auto" w:w="0"/>
        <w:jc w:val="center"/>
        <w:tblLayout w:type="fixed"/>
        <w:tblLook w:firstColumn="1" w:firstRow="1" w:lastColumn="0" w:lastRow="0" w:noHBand="0" w:noVBand="1" w:val="04A0"/>
        <w:tblBorders>
          <w:top w:val="single" w:sz="4" w:color="D8E2E7"/>
          <w:left w:val="single" w:sz="4" w:color="D8E2E7"/>
          <w:bottom w:val="single" w:sz="4" w:color="D8E2E7"/>
          <w:right w:val="single" w:sz="4" w:color="D8E2E7"/>
          <w:insideH w:val="single" w:sz="4" w:color="D8E2E7"/>
          <w:insideV w:val="single" w:sz="4" w:color="D8E2E7"/>
        </w:tblBorders>
      </w:tblPr>
      <w:tblGrid>
        <w:gridCol w:w="2268"/>
        <w:gridCol w:w="2948"/>
        <w:gridCol w:w="4592"/>
      </w:tblGrid>
      <w:tr>
        <w:trPr>
          <w:cantSplit/>
          <w:tblHeader w:val="true"/>
        </w:trPr>
        <w:tc>
          <w:tcPr>
            <w:tcW w:type="dxa" w:w="2268"/>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Itération proposée</w:t>
            </w:r>
          </w:p>
        </w:tc>
        <w:tc>
          <w:tcPr>
            <w:tcW w:type="dxa" w:w="2948"/>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Travail</w:t>
            </w:r>
          </w:p>
        </w:tc>
        <w:tc>
          <w:tcPr>
            <w:tcW w:type="dxa" w:w="4592"/>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Décision de sortie</w:t>
            </w:r>
          </w:p>
        </w:tc>
      </w:tr>
      <w:tr>
        <w:trPr>
          <w:cantSplit/>
        </w:trPr>
        <w:tc>
          <w:tcPr>
            <w:tcW w:type="dxa" w:w="226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1. Cadrer</w:t>
            </w:r>
          </w:p>
        </w:tc>
        <w:tc>
          <w:tcPr>
            <w:tcW w:type="dxa" w:w="294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Frontières, usages, concepts et preuves disponibles.</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Définir ce que la carte doit permettre de comparer.</w:t>
            </w:r>
          </w:p>
        </w:tc>
      </w:tr>
      <w:tr>
        <w:trPr>
          <w:cantSplit/>
        </w:trPr>
        <w:tc>
          <w:tcPr>
            <w:tcW w:type="dxa" w:w="226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2. Examiner les références</w:t>
            </w:r>
          </w:p>
        </w:tc>
        <w:tc>
          <w:tcPr>
            <w:tcW w:type="dxa" w:w="294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Contenus accessibles, granularité, retail/wholesale/marketplace, biais.</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Choisir les références à expérimenter, pas leur adopter toute la hiérarchie.</w:t>
            </w:r>
          </w:p>
        </w:tc>
      </w:tr>
      <w:tr>
        <w:trPr>
          <w:cantSplit/>
        </w:trPr>
        <w:tc>
          <w:tcPr>
            <w:tcW w:type="dxa" w:w="226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3. Prototyper</w:t>
            </w:r>
          </w:p>
        </w:tc>
        <w:tc>
          <w:tcPr>
            <w:tcW w:type="dxa" w:w="294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Deux ou trois modèles partiels sur les mêmes cas d’épreuve.</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Choisir une logique et les conventions de niveaux.</w:t>
            </w:r>
          </w:p>
        </w:tc>
      </w:tr>
      <w:tr>
        <w:trPr>
          <w:cantSplit/>
        </w:trPr>
        <w:tc>
          <w:tcPr>
            <w:tcW w:type="dxa" w:w="226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4. Répertorier</w:t>
            </w:r>
          </w:p>
        </w:tc>
        <w:tc>
          <w:tcPr>
            <w:tcW w:type="dxa" w:w="294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Déployer le modèle retenu sur les trois paysages et qualifier les couvertures.</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Identifier écarts, variantes, inconnues et contributions réelles.</w:t>
            </w:r>
          </w:p>
        </w:tc>
      </w:tr>
      <w:tr>
        <w:trPr>
          <w:cantSplit/>
        </w:trPr>
        <w:tc>
          <w:tcPr>
            <w:tcW w:type="dxa" w:w="226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5. Comparer les cibles</w:t>
            </w:r>
          </w:p>
        </w:tc>
        <w:tc>
          <w:tcPr>
            <w:tcW w:type="dxa" w:w="294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Mutualisation, responsabilités, délégation, remplacement et transitions.</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Arbitrer des scénarios et conserver les questions non résolues.</w:t>
            </w:r>
          </w:p>
        </w:tc>
      </w:tr>
    </w:tbl>
    <w:p>
      <w:pPr>
        <w:pStyle w:val="Heading2"/>
        <w:keepNext/>
      </w:pPr>
      <w:r>
        <w:rPr>
          <w:b w:val="0"/>
          <w:i w:val="0"/>
        </w:rPr>
        <w:t>Trois options de hiérarchie conservées</w:t>
      </w:r>
    </w:p>
    <w:tbl>
      <w:tblPr>
        <w:tblStyle w:val="TableGrid"/>
        <w:tblW w:type="auto" w:w="0"/>
        <w:jc w:val="center"/>
        <w:tblLayout w:type="fixed"/>
        <w:tblLook w:firstColumn="1" w:firstRow="1" w:lastColumn="0" w:lastRow="0" w:noHBand="0" w:noVBand="1" w:val="04A0"/>
        <w:tblBorders>
          <w:top w:val="single" w:sz="4" w:color="D8E2E7"/>
          <w:left w:val="single" w:sz="4" w:color="D8E2E7"/>
          <w:bottom w:val="single" w:sz="4" w:color="D8E2E7"/>
          <w:right w:val="single" w:sz="4" w:color="D8E2E7"/>
          <w:insideH w:val="single" w:sz="4" w:color="D8E2E7"/>
          <w:insideV w:val="single" w:sz="4" w:color="D8E2E7"/>
        </w:tblBorders>
      </w:tblPr>
      <w:tblGrid>
        <w:gridCol w:w="2268"/>
        <w:gridCol w:w="2948"/>
        <w:gridCol w:w="4592"/>
      </w:tblGrid>
      <w:tr>
        <w:trPr>
          <w:cantSplit/>
          <w:tblHeader w:val="true"/>
        </w:trPr>
        <w:tc>
          <w:tcPr>
            <w:tcW w:type="dxa" w:w="2268"/>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Option</w:t>
            </w:r>
          </w:p>
        </w:tc>
        <w:tc>
          <w:tcPr>
            <w:tcW w:type="dxa" w:w="2948"/>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Intérêt</w:t>
            </w:r>
          </w:p>
        </w:tc>
        <w:tc>
          <w:tcPr>
            <w:tcW w:type="dxa" w:w="4592"/>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Risque à éprouver</w:t>
            </w:r>
          </w:p>
        </w:tc>
      </w:tr>
      <w:tr>
        <w:trPr>
          <w:cantSplit/>
        </w:trPr>
        <w:tc>
          <w:tcPr>
            <w:tcW w:type="dxa" w:w="226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Grandes responsabilités commerciales</w:t>
            </w:r>
          </w:p>
        </w:tc>
        <w:tc>
          <w:tcPr>
            <w:tcW w:type="dxa" w:w="294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Lisibilité achats, ventes, stocks, service ; rapprochement rapide des fonctions existantes.</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Reproduire les silos et disperser les responsabilités transverses.</w:t>
            </w:r>
          </w:p>
        </w:tc>
      </w:tr>
      <w:tr>
        <w:trPr>
          <w:cantSplit/>
        </w:trPr>
        <w:tc>
          <w:tcPr>
            <w:tcW w:type="dxa" w:w="226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Objets métier et cycles de vie</w:t>
            </w:r>
          </w:p>
        </w:tc>
        <w:tc>
          <w:tcPr>
            <w:tcW w:type="dxa" w:w="294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Faire émerger sémantique, engagements et référentiels communs.</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Confondre capacité avec objet, CRUD ou schéma de données.</w:t>
            </w:r>
          </w:p>
        </w:tc>
      </w:tr>
      <w:tr>
        <w:trPr>
          <w:cantSplit/>
        </w:trPr>
        <w:tc>
          <w:tcPr>
            <w:tcW w:type="dxa" w:w="226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Responsabilités de décision/exécution</w:t>
            </w:r>
          </w:p>
        </w:tc>
        <w:tc>
          <w:tcPr>
            <w:tcW w:type="dxa" w:w="294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Rendre visibles les frontières utiles à la modernisation.</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Dessiner trop tôt des services cibles, moins lisibles pour les métiers.</w:t>
            </w:r>
          </w:p>
        </w:tc>
      </w:tr>
    </w:tbl>
    <w:p>
      <w:pPr/>
      <w:r>
        <w:rPr>
          <w:b w:val="0"/>
          <w:i w:val="0"/>
        </w:rPr>
        <w:t xml:space="preserve">Une combinaison n’est pas exclue, mais elle doit être justifiée par des cas concrets. Le niveau « Domaine » peut être un regroupement ou une capacité de haut niveau : ce choix reste ouvert. La profondeur ne doit pas être forcée à trois niveaux partout pour la seule symétrie du dessin. </w:t>
      </w:r>
      <w:r>
        <w:rPr>
          <w:b w:val="0"/>
          <w:i w:val="0"/>
        </w:rPr>
        <w:t>[</w:t>
      </w:r>
      <w:r>
        <w:rPr>
          <w:b w:val="0"/>
          <w:i w:val="0"/>
        </w:rPr>
        <w:t>P03–P07]</w:t>
      </w:r>
    </w:p>
    <w:p>
      <w:pPr/>
      <w:r>
        <w:rPr>
          <w:b w:val="0"/>
          <w:i w:val="0"/>
        </w:rPr>
        <w:t xml:space="preserve">Les premiers cas proposés couvrent une commande d’achat avec réception partielle, écarts et conditionnements ; une précommande wholesale sous contrainte ; une vente omnicanale suivie d’un retour ; un cas marketplace avec vendeur tiers seulement si ce modèle est établi. Les priorités explicites sont maintenant GBM, puis l’allocation BRD et le SAV Sarenza. Le ship-from-store et le réassort GBM apportent déjà deux cas réels suffisamment riches. </w:t>
      </w:r>
      <w:r>
        <w:rPr>
          <w:b w:val="0"/>
          <w:i w:val="0"/>
        </w:rPr>
        <w:t>[</w:t>
      </w:r>
      <w:r>
        <w:rPr>
          <w:b w:val="0"/>
          <w:i w:val="0"/>
        </w:rPr>
        <w:t>P08–P09]</w:t>
      </w:r>
    </w:p>
    <w:p>
      <w:pPr>
        <w:pStyle w:val="Heading2"/>
        <w:keepNext/>
      </w:pPr>
      <w:r>
        <w:rPr>
          <w:b w:val="0"/>
          <w:i w:val="0"/>
        </w:rPr>
        <w:t>Gouvernance et critères proposés</w:t>
      </w:r>
    </w:p>
    <w:p>
      <w:pPr/>
      <w:r>
        <w:rPr>
          <w:b w:val="0"/>
          <w:i w:val="0"/>
        </w:rPr>
        <w:t xml:space="preserve">Laurent porte la cohérence et la traçabilité ; les métiers doivent valider le sens, les frontières et les variantes ; les équipes des SI apportent les descriptions et preuves de réalisation. Les responsables produits et architectes solutions contribuent ensuite aux cibles. Cette répartition est une proposition, pas une organisation projet nommée et approuvée. </w:t>
      </w:r>
      <w:r>
        <w:rPr>
          <w:b w:val="0"/>
          <w:i w:val="0"/>
        </w:rPr>
        <w:t>[</w:t>
      </w:r>
      <w:r>
        <w:rPr>
          <w:b w:val="0"/>
          <w:i w:val="0"/>
        </w:rPr>
        <w:t>P16]</w:t>
      </w:r>
    </w:p>
    <w:p>
      <w:pPr/>
      <w:r>
        <w:rPr>
          <w:b w:val="0"/>
          <w:i w:val="0"/>
        </w:rPr>
        <w:t>Une option de carte est utile si elle décrit les trois paysages sans artifices, préserve les différences d’engagement et permet de remplacer une application sans renommer les capacités. Un même mot dans deux produits ne prouve pas la même responsabilité. Deux implémentations distinctes ne prouvent pas deux capacités distinctes.</w:t>
      </w:r>
    </w:p>
    <w:p>
      <w:pPr/>
      <w:r>
        <w:rPr>
          <w:b w:val="0"/>
          <w:i w:val="0"/>
        </w:rPr>
        <w:t xml:space="preserve">Chaque arbitrage doit conserver les alternatives, arguments, cas qui les mettent en défaut et conditions de réexamen. La carte ne suffit pas à démontrer qu’un composant peut être fusionné ou remplacé : règles, données, engagements et contraintes d’exécution demandent une analyse complémentaire. </w:t>
      </w:r>
      <w:r>
        <w:rPr>
          <w:b w:val="0"/>
          <w:i w:val="0"/>
        </w:rPr>
        <w:t>[</w:t>
      </w:r>
      <w:r>
        <w:rPr>
          <w:b w:val="0"/>
          <w:i w:val="0"/>
        </w:rPr>
        <w:t>P10–P19]</w:t>
      </w:r>
    </w:p>
    <w:p>
      <w:pPr>
        <w:pStyle w:val="Heading1"/>
        <w:keepNext/>
        <w:spacing w:before="360"/>
      </w:pPr>
      <w:r>
        <w:rPr>
          <w:b w:val="0"/>
          <w:i w:val="0"/>
        </w:rPr>
        <w:t>04 — Références du marché : rôles et limites</w:t>
      </w:r>
    </w:p>
    <w:p>
      <w:pPr/>
      <w:r>
        <w:rPr>
          <w:b w:val="0"/>
          <w:i w:val="0"/>
        </w:rPr>
        <w:t xml:space="preserve">Aucun standard ni catalogue d’éditeur n’est encore adopté comme nomenclature Beaumanoir. Le principe proposé est de sélectionner un cadre de modélisation, éventuellement une structure principale, puis des sources de contrôle et d’enrichissement. La provenance de chaque élément futur devra préciser version, adaptation et justification. Un élément spécifique Beaumanoir sera déclaré spécifique. </w:t>
      </w:r>
      <w:r>
        <w:rPr>
          <w:b w:val="0"/>
          <w:i w:val="0"/>
        </w:rPr>
        <w:t>[</w:t>
      </w:r>
      <w:r>
        <w:rPr>
          <w:b w:val="0"/>
          <w:i w:val="0"/>
        </w:rPr>
        <w:t>U01 ; P20]</w:t>
      </w:r>
    </w:p>
    <w:tbl>
      <w:tblPr>
        <w:tblStyle w:val="TableGrid"/>
        <w:tblW w:type="auto" w:w="0"/>
        <w:jc w:val="center"/>
        <w:tblLayout w:type="fixed"/>
        <w:tblLook w:firstColumn="1" w:firstRow="1" w:lastColumn="0" w:lastRow="0" w:noHBand="0" w:noVBand="1" w:val="04A0"/>
        <w:tblBorders>
          <w:top w:val="single" w:sz="4" w:color="D8E2E7"/>
          <w:left w:val="single" w:sz="4" w:color="D8E2E7"/>
          <w:bottom w:val="single" w:sz="4" w:color="D8E2E7"/>
          <w:right w:val="single" w:sz="4" w:color="D8E2E7"/>
          <w:insideH w:val="single" w:sz="4" w:color="D8E2E7"/>
          <w:insideV w:val="single" w:sz="4" w:color="D8E2E7"/>
        </w:tblBorders>
      </w:tblPr>
      <w:tblGrid>
        <w:gridCol w:w="2608"/>
        <w:gridCol w:w="2608"/>
        <w:gridCol w:w="4592"/>
      </w:tblGrid>
      <w:tr>
        <w:trPr>
          <w:cantSplit/>
          <w:tblHeader w:val="true"/>
        </w:trPr>
        <w:tc>
          <w:tcPr>
            <w:tcW w:type="dxa" w:w="2608"/>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Référence candidate</w:t>
            </w:r>
          </w:p>
        </w:tc>
        <w:tc>
          <w:tcPr>
            <w:tcW w:type="dxa" w:w="2608"/>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Rôle envisagé</w:t>
            </w:r>
          </w:p>
        </w:tc>
        <w:tc>
          <w:tcPr>
            <w:tcW w:type="dxa" w:w="4592"/>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Précaution</w:t>
            </w:r>
          </w:p>
        </w:tc>
      </w:tr>
      <w:tr>
        <w:trPr>
          <w:cantSplit/>
        </w:trPr>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 xml:space="preserve">TOGAF / ArchiMate </w:t>
            </w:r>
            <w:r>
              <w:rPr>
                <w:rFonts w:ascii="Noto Sans" w:hAnsi="Noto Sans"/>
                <w:b w:val="0"/>
                <w:i w:val="0"/>
                <w:color w:val="173247"/>
                <w:sz w:val="18"/>
              </w:rPr>
              <w:t>[</w:t>
            </w:r>
            <w:r>
              <w:rPr>
                <w:rFonts w:ascii="Noto Sans" w:hAnsi="Noto Sans"/>
                <w:b w:val="0"/>
                <w:i w:val="0"/>
                <w:color w:val="173247"/>
                <w:sz w:val="18"/>
              </w:rPr>
              <w:t>R01–R02]</w:t>
            </w:r>
          </w:p>
        </w:tc>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Cadre conceptuel, relations et formalisation d’architecture.</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Le catalogue des guides est retrouvé ; aucun modèle commerce complet n’est adopté. La page d’examen initiale n’est pas une spécification ArchiMate.</w:t>
            </w:r>
          </w:p>
        </w:tc>
      </w:tr>
      <w:tr>
        <w:trPr>
          <w:cantSplit/>
        </w:trPr>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 xml:space="preserve">BIZBOK / Guild </w:t>
            </w:r>
            <w:r>
              <w:rPr>
                <w:rFonts w:ascii="Noto Sans" w:hAnsi="Noto Sans"/>
                <w:b w:val="0"/>
                <w:i w:val="0"/>
                <w:color w:val="173247"/>
                <w:sz w:val="18"/>
              </w:rPr>
              <w:t>[</w:t>
            </w:r>
            <w:r>
              <w:rPr>
                <w:rFonts w:ascii="Noto Sans" w:hAnsi="Noto Sans"/>
                <w:b w:val="0"/>
                <w:i w:val="0"/>
                <w:color w:val="173247"/>
                <w:sz w:val="18"/>
              </w:rPr>
              <w:t>R06]</w:t>
            </w:r>
          </w:p>
        </w:tc>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Règles de définition et rapprochement des vues métier.</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Accès complet non analysé ; page refusée lors du contrôle.</w:t>
            </w:r>
          </w:p>
        </w:tc>
      </w:tr>
      <w:tr>
        <w:trPr>
          <w:cantSplit/>
        </w:trPr>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 xml:space="preserve">SAP Reference Business Architecture </w:t>
            </w:r>
            <w:r>
              <w:rPr>
                <w:rFonts w:ascii="Noto Sans" w:hAnsi="Noto Sans"/>
                <w:b w:val="0"/>
                <w:i w:val="0"/>
                <w:color w:val="173247"/>
                <w:sz w:val="18"/>
              </w:rPr>
              <w:t>[</w:t>
            </w:r>
            <w:r>
              <w:rPr>
                <w:rFonts w:ascii="Noto Sans" w:hAnsi="Noto Sans"/>
                <w:b w:val="0"/>
                <w:i w:val="0"/>
                <w:color w:val="173247"/>
                <w:sz w:val="18"/>
              </w:rPr>
              <w:t>R03–R05]</w:t>
            </w:r>
          </w:p>
        </w:tc>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Distinguer capacité, processus et solution ; hiérarchie de référence candidate.</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Le modèle SAP présente notamment Domain / Area / Capability ; ne pas assimiler cette convention à notre option Domain / Capability / Sous-capacité.</w:t>
            </w:r>
          </w:p>
        </w:tc>
      </w:tr>
      <w:tr>
        <w:trPr>
          <w:cantSplit/>
        </w:trPr>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 xml:space="preserve">Oracle Retail Reference Model </w:t>
            </w:r>
            <w:r>
              <w:rPr>
                <w:rFonts w:ascii="Noto Sans" w:hAnsi="Noto Sans"/>
                <w:b w:val="0"/>
                <w:i w:val="0"/>
                <w:color w:val="173247"/>
                <w:sz w:val="18"/>
              </w:rPr>
              <w:t>[</w:t>
            </w:r>
            <w:r>
              <w:rPr>
                <w:rFonts w:ascii="Noto Sans" w:hAnsi="Noto Sans"/>
                <w:b w:val="0"/>
                <w:i w:val="0"/>
                <w:color w:val="173247"/>
                <w:sz w:val="18"/>
              </w:rPr>
              <w:t>R07]</w:t>
            </w:r>
          </w:p>
        </w:tc>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Processus, glossaire et couverture des cas retail.</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Ne pas transformer chaque processus ou modèle technique en capacité.</w:t>
            </w:r>
          </w:p>
        </w:tc>
      </w:tr>
      <w:tr>
        <w:trPr>
          <w:cantSplit/>
        </w:trPr>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 xml:space="preserve">IBM Component Business Model </w:t>
            </w:r>
            <w:r>
              <w:rPr>
                <w:rFonts w:ascii="Noto Sans" w:hAnsi="Noto Sans"/>
                <w:b w:val="0"/>
                <w:i w:val="0"/>
                <w:color w:val="173247"/>
                <w:sz w:val="18"/>
              </w:rPr>
              <w:t>[</w:t>
            </w:r>
            <w:r>
              <w:rPr>
                <w:rFonts w:ascii="Noto Sans" w:hAnsi="Noto Sans"/>
                <w:b w:val="0"/>
                <w:i w:val="0"/>
                <w:color w:val="173247"/>
                <w:sz w:val="18"/>
              </w:rPr>
              <w:t>R08]</w:t>
            </w:r>
          </w:p>
        </w:tc>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Comparer une structuration par composants métier.</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Description IBM accessible, pas un catalogue détaillé étudié.</w:t>
            </w:r>
          </w:p>
        </w:tc>
      </w:tr>
      <w:tr>
        <w:trPr>
          <w:cantSplit/>
        </w:trPr>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 xml:space="preserve">APQC PCF Retail </w:t>
            </w:r>
            <w:r>
              <w:rPr>
                <w:rFonts w:ascii="Noto Sans" w:hAnsi="Noto Sans"/>
                <w:b w:val="0"/>
                <w:i w:val="0"/>
                <w:color w:val="173247"/>
                <w:sz w:val="18"/>
              </w:rPr>
              <w:t>[</w:t>
            </w:r>
            <w:r>
              <w:rPr>
                <w:rFonts w:ascii="Noto Sans" w:hAnsi="Noto Sans"/>
                <w:b w:val="0"/>
                <w:i w:val="0"/>
                <w:color w:val="173247"/>
                <w:sz w:val="18"/>
              </w:rPr>
              <w:t>R09]</w:t>
            </w:r>
          </w:p>
        </w:tc>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Contrôle des omissions et couverture des activités.</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Classification de processus ; page version 7.2.1 consultée, PDF non étudié ici.</w:t>
            </w:r>
          </w:p>
        </w:tc>
      </w:tr>
      <w:tr>
        <w:trPr>
          <w:cantSplit/>
        </w:trPr>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 xml:space="preserve">ARTS / OMG </w:t>
            </w:r>
            <w:r>
              <w:rPr>
                <w:rFonts w:ascii="Noto Sans" w:hAnsi="Noto Sans"/>
                <w:b w:val="0"/>
                <w:i w:val="0"/>
                <w:color w:val="173247"/>
                <w:sz w:val="18"/>
              </w:rPr>
              <w:t>[</w:t>
            </w:r>
            <w:r>
              <w:rPr>
                <w:rFonts w:ascii="Noto Sans" w:hAnsi="Noto Sans"/>
                <w:b w:val="0"/>
                <w:i w:val="0"/>
                <w:color w:val="173247"/>
                <w:sz w:val="18"/>
              </w:rPr>
              <w:t>R10]</w:t>
            </w:r>
          </w:p>
        </w:tc>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Vocabulaire et objets opérationnels retail.</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Modèle de données ; ne pas en dériver mécaniquement la carte.</w:t>
            </w:r>
          </w:p>
        </w:tc>
      </w:tr>
      <w:tr>
        <w:trPr>
          <w:cantSplit/>
        </w:trPr>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 xml:space="preserve">ITIL </w:t>
            </w:r>
            <w:r>
              <w:rPr>
                <w:rFonts w:ascii="Noto Sans" w:hAnsi="Noto Sans"/>
                <w:b w:val="0"/>
                <w:i w:val="0"/>
                <w:color w:val="173247"/>
                <w:sz w:val="18"/>
              </w:rPr>
              <w:t>[</w:t>
            </w:r>
            <w:r>
              <w:rPr>
                <w:rFonts w:ascii="Noto Sans" w:hAnsi="Noto Sans"/>
                <w:b w:val="0"/>
                <w:i w:val="0"/>
                <w:color w:val="173247"/>
                <w:sz w:val="18"/>
              </w:rPr>
              <w:t>R11]</w:t>
            </w:r>
          </w:p>
        </w:tc>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Éventuel appui de gouvernance des produits et services numériques.</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Non proposé comme pivot métier du cœur commerce.</w:t>
            </w:r>
          </w:p>
        </w:tc>
      </w:tr>
      <w:tr>
        <w:trPr>
          <w:cantSplit/>
        </w:trPr>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 xml:space="preserve">BPMN / CMMN / DMN </w:t>
            </w:r>
            <w:r>
              <w:rPr>
                <w:rFonts w:ascii="Noto Sans" w:hAnsi="Noto Sans"/>
                <w:b w:val="0"/>
                <w:i w:val="0"/>
                <w:color w:val="173247"/>
                <w:sz w:val="18"/>
              </w:rPr>
              <w:t>[</w:t>
            </w:r>
            <w:r>
              <w:rPr>
                <w:rFonts w:ascii="Noto Sans" w:hAnsi="Noto Sans"/>
                <w:b w:val="0"/>
                <w:i w:val="0"/>
                <w:color w:val="173247"/>
                <w:sz w:val="18"/>
              </w:rPr>
              <w:t>R15–R17]</w:t>
            </w:r>
          </w:p>
        </w:tc>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Décrire parcours, situations et certaines décisions pour éprouver la carte.</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Ne remplace pas la carte de capacités et n’impose pas un moteur d’exécution.</w:t>
            </w:r>
          </w:p>
        </w:tc>
      </w:tr>
    </w:tbl>
    <w:p>
      <w:pPr/>
      <w:r>
        <w:rPr>
          <w:b w:val="0"/>
          <w:i w:val="0"/>
        </w:rPr>
        <w:t xml:space="preserve">La définition de capacité organisationnelle utilisée comme point d’appui inclut personnes, processus, informations et technologies </w:t>
      </w:r>
      <w:r>
        <w:rPr>
          <w:b w:val="0"/>
          <w:i w:val="0"/>
        </w:rPr>
        <w:t>[</w:t>
      </w:r>
      <w:r>
        <w:rPr>
          <w:b w:val="0"/>
          <w:i w:val="0"/>
        </w:rPr>
        <w:t xml:space="preserve">R12]. Les références DDD et Saga ont seulement servi à discuter règles métier, coordination et transactions longues </w:t>
      </w:r>
      <w:r>
        <w:rPr>
          <w:b w:val="0"/>
          <w:i w:val="0"/>
        </w:rPr>
        <w:t>[</w:t>
      </w:r>
      <w:r>
        <w:rPr>
          <w:b w:val="0"/>
          <w:i w:val="0"/>
        </w:rPr>
        <w:t>R13–R14]. Elles ne décident ni d’une architecture microservices ni de la séparation physique des deux plateformes.</w:t>
      </w:r>
    </w:p>
    <w:p>
      <w:pPr/>
      <w:r>
        <w:rPr>
          <w:b w:val="0"/>
          <w:i w:val="0"/>
        </w:rPr>
        <w:t>Le contrôle documentaire de cette version porte principalement sur les pages officielles de présentation ; il ne constitue pas une étude comparative détaillée de tous les catalogues. Les pages Cegid UR 2021 citées antérieurement n’ont pas toutes pu être rouvertes. La bibliographie conserve leur statut au lieu de transformer les assertions antérieures en nouvelles preuves.</w:t>
      </w:r>
    </w:p>
    <w:p>
      <w:pPr>
        <w:pStyle w:val="Heading2"/>
        <w:keepNext/>
      </w:pPr>
      <w:r>
        <w:rPr>
          <w:b w:val="0"/>
          <w:i w:val="0"/>
        </w:rPr>
        <w:t>Vérification UR conservée avec ses réserves</w:t>
      </w:r>
    </w:p>
    <w:p>
      <w:pPr/>
      <w:r>
        <w:rPr>
          <w:b w:val="0"/>
          <w:i w:val="0"/>
        </w:rPr>
        <w:t xml:space="preserve">L’origine Cylande puis Cegid est corroborée par une annonce officielle Cegid </w:t>
      </w:r>
      <w:r>
        <w:rPr>
          <w:b w:val="0"/>
          <w:i w:val="0"/>
        </w:rPr>
        <w:t>[</w:t>
      </w:r>
      <w:r>
        <w:rPr>
          <w:b w:val="0"/>
          <w:i w:val="0"/>
        </w:rPr>
        <w:t xml:space="preserve">R18]. L’assistant avait cité une documentation UR 2021 sur achats, stocks, ventes assistées et allocation/réallocation </w:t>
      </w:r>
      <w:r>
        <w:rPr>
          <w:b w:val="0"/>
          <w:i w:val="0"/>
        </w:rPr>
        <w:t>[</w:t>
      </w:r>
      <w:r>
        <w:rPr>
          <w:b w:val="0"/>
          <w:i w:val="0"/>
        </w:rPr>
        <w:t xml:space="preserve">R19–R22]. Il y associait commandes/intentions d’achat, portefeuille et litiges ; mouvements/inventaires/réassort ; réservations et commandes assistées, modes de délivrance, modifications/reprises, notifications et journal. La nouvelle vérification n’a pas permis une relecture intégrale de ces pages ; un sommaire officiel indexé confirme seulement une partie de leur contexte </w:t>
      </w:r>
      <w:r>
        <w:rPr>
          <w:b w:val="0"/>
          <w:i w:val="0"/>
        </w:rPr>
        <w:t>[</w:t>
      </w:r>
      <w:r>
        <w:rPr>
          <w:b w:val="0"/>
          <w:i w:val="0"/>
        </w:rPr>
        <w:t>R24].</w:t>
      </w:r>
    </w:p>
    <w:p>
      <w:pPr/>
      <w:r>
        <w:rPr>
          <w:b w:val="0"/>
          <w:i w:val="0"/>
        </w:rPr>
        <w:t xml:space="preserve">La mention Winstore dans cette documentation </w:t>
      </w:r>
      <w:r>
        <w:rPr>
          <w:b/>
          <w:i w:val="0"/>
        </w:rPr>
        <w:t>n’identifie pas les logiciels POS de GBM</w:t>
      </w:r>
      <w:r>
        <w:rPr>
          <w:b w:val="0"/>
          <w:i w:val="0"/>
        </w:rPr>
        <w:t xml:space="preserve">. L’annonce UR/ship-from-store de 2019 avait une citation défectueuse dans le fil ; sa source précise reste non retrouvée </w:t>
      </w:r>
      <w:r>
        <w:rPr>
          <w:b w:val="0"/>
          <w:i w:val="0"/>
        </w:rPr>
        <w:t>[</w:t>
      </w:r>
      <w:r>
        <w:rPr>
          <w:b w:val="0"/>
          <w:i w:val="0"/>
        </w:rPr>
        <w:t>R23]. Elle n’est utilisée ni pour nier les limites GBM ni pour attribuer une couverture déployée.</w:t>
      </w:r>
    </w:p>
    <w:p>
      <w:pPr/>
      <w:r>
        <w:rPr>
          <w:b w:val="0"/>
          <w:i w:val="0"/>
        </w:rPr>
        <w:t xml:space="preserve">La formulation de travail reste : UR est une solution retail dont le rôle GBM décrit est multicanal orienté eCommerce. Socloz couvre les usages complexes que le déploiement UR ne prend pas suffisamment en charge. La couverture du produit ne démontre pas celle de la version installée. </w:t>
      </w:r>
      <w:r>
        <w:rPr>
          <w:b w:val="0"/>
          <w:i w:val="0"/>
        </w:rPr>
        <w:t>[</w:t>
      </w:r>
      <w:r>
        <w:rPr>
          <w:b w:val="0"/>
          <w:i w:val="0"/>
        </w:rPr>
        <w:t>C02–C03]</w:t>
      </w:r>
    </w:p>
    <w:p>
      <w:pPr>
        <w:pStyle w:val="Heading1"/>
        <w:keepNext/>
        <w:spacing w:before="360"/>
      </w:pPr>
      <w:r>
        <w:rPr>
          <w:b w:val="0"/>
          <w:i w:val="0"/>
        </w:rPr>
        <w:t>05 — Trois paysages, trois contextes d’épreuve</w:t>
      </w:r>
    </w:p>
    <w:tbl>
      <w:tblPr>
        <w:tblStyle w:val="TableGrid"/>
        <w:tblW w:type="auto" w:w="0"/>
        <w:jc w:val="center"/>
        <w:tblLayout w:type="fixed"/>
        <w:tblLook w:firstColumn="1" w:firstRow="1" w:lastColumn="0" w:lastRow="0" w:noHBand="0" w:noVBand="1" w:val="04A0"/>
        <w:tblBorders>
          <w:top w:val="single" w:sz="4" w:color="D8E2E7"/>
          <w:left w:val="single" w:sz="4" w:color="D8E2E7"/>
          <w:bottom w:val="single" w:sz="4" w:color="D8E2E7"/>
          <w:right w:val="single" w:sz="4" w:color="D8E2E7"/>
          <w:insideH w:val="single" w:sz="4" w:color="D8E2E7"/>
          <w:insideV w:val="single" w:sz="4" w:color="D8E2E7"/>
        </w:tblBorders>
      </w:tblPr>
      <w:tblGrid>
        <w:gridCol w:w="2268"/>
        <w:gridCol w:w="2948"/>
        <w:gridCol w:w="4592"/>
      </w:tblGrid>
      <w:tr>
        <w:trPr>
          <w:cantSplit/>
          <w:tblHeader w:val="true"/>
        </w:trPr>
        <w:tc>
          <w:tcPr>
            <w:tcW w:type="dxa" w:w="2268"/>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Paysage</w:t>
            </w:r>
          </w:p>
        </w:tc>
        <w:tc>
          <w:tcPr>
            <w:tcW w:type="dxa" w:w="2948"/>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Contexte déclaré</w:t>
            </w:r>
          </w:p>
        </w:tc>
        <w:tc>
          <w:tcPr>
            <w:tcW w:type="dxa" w:w="4592"/>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Périmètre applicatif de départ</w:t>
            </w:r>
          </w:p>
        </w:tc>
      </w:tr>
      <w:tr>
        <w:trPr>
          <w:cantSplit/>
        </w:trPr>
        <w:tc>
          <w:tcPr>
            <w:tcW w:type="dxa" w:w="226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GBM — marques historiques</w:t>
            </w:r>
          </w:p>
        </w:tc>
        <w:tc>
          <w:tcPr>
            <w:tcW w:type="dxa" w:w="294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Environ 90 % retail magasins/eCommerce et 10 % B2B ; Zalando cité.</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Storeland, UR, Socloz ; compléments découverts ensuite : POS, Talend, Zoho, Elastic, IRMA, SCORTEX, MAP, CBS.</w:t>
            </w:r>
          </w:p>
        </w:tc>
      </w:tr>
      <w:tr>
        <w:trPr>
          <w:cantSplit/>
        </w:trPr>
        <w:tc>
          <w:tcPr>
            <w:tcW w:type="dxa" w:w="226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BRD — Boardriders</w:t>
            </w:r>
          </w:p>
        </w:tc>
        <w:tc>
          <w:tcPr>
            <w:tcW w:type="dxa" w:w="294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Environ 60 % B2B ; enjeu majeur d’allocation.</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SAP ECC, SAP AFS, NewStore ; Allocation Run dans SAP.</w:t>
            </w:r>
          </w:p>
        </w:tc>
      </w:tr>
      <w:tr>
        <w:trPr>
          <w:cantSplit/>
        </w:trPr>
        <w:tc>
          <w:tcPr>
            <w:tcW w:type="dxa" w:w="226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Sarenza</w:t>
            </w:r>
          </w:p>
        </w:tc>
        <w:tc>
          <w:tcPr>
            <w:tcW w:type="dxa" w:w="294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Intégration de catalogues fournisseurs constitués, puis revente B2C ; SAV identifié comme force.</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Plateforme sur mesure initialement qualifiée de marketplace.</w:t>
            </w:r>
          </w:p>
        </w:tc>
      </w:tr>
    </w:tbl>
    <w:p>
      <w:pPr/>
      <w:r>
        <w:rPr>
          <w:b w:val="0"/>
          <w:i w:val="0"/>
        </w:rPr>
        <w:t xml:space="preserve">Les proportions sont des ordres de grandeur déclarés ; période, dénominateur et base économique ne sont pas précisés. Elles orientent les cas d’étude sans devenir des poids de criticité : une activité minoritaire peut imposer une contrainte structurante. </w:t>
      </w:r>
      <w:r>
        <w:rPr>
          <w:b w:val="0"/>
          <w:i w:val="0"/>
        </w:rPr>
        <w:t>[</w:t>
      </w:r>
      <w:r>
        <w:rPr>
          <w:b w:val="0"/>
          <w:i w:val="0"/>
        </w:rPr>
        <w:t>U02]</w:t>
      </w:r>
    </w:p>
    <w:p>
      <w:pPr/>
      <w:r>
        <w:rPr>
          <w:b/>
          <w:i w:val="0"/>
        </w:rPr>
        <w:t>Sarenza n’est pas modélisée automatiquement comme intermédiaire de vendeurs tiers.</w:t>
      </w:r>
      <w:r>
        <w:rPr>
          <w:b w:val="0"/>
          <w:i w:val="0"/>
        </w:rPr>
        <w:t xml:space="preserve"> Le terme marketplace du cadrage désigne la plateforme ; le fonctionnement métier précisé ensuite est la revente B2C. D’éventuels autres modèles restent à établir. Le catalogue fournisseur est amont du référentiel opérationnel ; son intégration ne réintroduit pas le design produit. </w:t>
      </w:r>
      <w:r>
        <w:rPr>
          <w:b w:val="0"/>
          <w:i w:val="0"/>
        </w:rPr>
        <w:t>[</w:t>
      </w:r>
      <w:r>
        <w:rPr>
          <w:b w:val="0"/>
          <w:i w:val="0"/>
        </w:rPr>
        <w:t>U01 ; U02 ; C01]</w:t>
      </w:r>
    </w:p>
    <w:p>
      <w:pPr/>
      <w:r>
        <w:rPr>
          <w:b w:val="0"/>
          <w:i w:val="0"/>
        </w:rPr>
        <w:t xml:space="preserve">ARun est un point d’entrée pour comprendre les responsabilités de BRD, pas le nom d’une capacité à reproduire. Le regroupement des décisions dans un traitement existant ne dicte pas leur temporalité cible. Il n’est pas décidé de passer toute décision en temps réel. NewStore est seulement cité comme composant : aucune couverture détaillée ne lui est attribuée ici. </w:t>
      </w:r>
      <w:r>
        <w:rPr>
          <w:b w:val="0"/>
          <w:i w:val="0"/>
        </w:rPr>
        <w:t>[</w:t>
      </w:r>
      <w:r>
        <w:rPr>
          <w:b w:val="0"/>
          <w:i w:val="0"/>
        </w:rPr>
        <w:t>P54 ; APP-NEW]</w:t>
      </w:r>
    </w:p>
    <w:p>
      <w:pPr/>
      <w:r>
        <w:rPr>
          <w:b w:val="0"/>
          <w:i w:val="0"/>
        </w:rPr>
        <w:t xml:space="preserve">Pour Sarenza, l’exemple SAV d’article défectueux et d’échange/retour/remboursement est une illustration proposée par l’assistant, non un parcours actuel raconté. Il doit aider à distinguer contexte du dossier, éligibilité de la solution, stock de remplacement et flux de retour. Les causes de la force du SAV — outils, règles, organisation, information, facilité de traitement — restent à analyser. </w:t>
      </w:r>
      <w:r>
        <w:rPr>
          <w:b w:val="0"/>
          <w:i w:val="0"/>
        </w:rPr>
        <w:t>[</w:t>
      </w:r>
      <w:r>
        <w:rPr>
          <w:b w:val="0"/>
          <w:i w:val="0"/>
        </w:rPr>
        <w:t>P25–P26]</w:t>
      </w:r>
    </w:p>
    <w:p>
      <w:pPr>
        <w:pStyle w:val="Heading2"/>
        <w:keepNext/>
      </w:pPr>
      <w:r>
        <w:rPr>
          <w:b w:val="0"/>
          <w:i w:val="0"/>
        </w:rPr>
        <w:t>Variantes à différencier avant mutualisation</w:t>
      </w:r>
    </w:p>
    <w:tbl>
      <w:tblPr>
        <w:tblStyle w:val="TableGrid"/>
        <w:tblW w:type="auto" w:w="0"/>
        <w:jc w:val="center"/>
        <w:tblLayout w:type="fixed"/>
        <w:tblLook w:firstColumn="1" w:firstRow="1" w:lastColumn="0" w:lastRow="0" w:noHBand="0" w:noVBand="1" w:val="04A0"/>
        <w:tblBorders>
          <w:top w:val="single" w:sz="4" w:color="D8E2E7"/>
          <w:left w:val="single" w:sz="4" w:color="D8E2E7"/>
          <w:bottom w:val="single" w:sz="4" w:color="D8E2E7"/>
          <w:right w:val="single" w:sz="4" w:color="D8E2E7"/>
          <w:insideH w:val="single" w:sz="4" w:color="D8E2E7"/>
          <w:insideV w:val="single" w:sz="4" w:color="D8E2E7"/>
        </w:tblBorders>
      </w:tblPr>
      <w:tblGrid>
        <w:gridCol w:w="2665"/>
        <w:gridCol w:w="7143"/>
      </w:tblGrid>
      <w:tr>
        <w:trPr>
          <w:cantSplit/>
          <w:tblHeader w:val="true"/>
        </w:trPr>
        <w:tc>
          <w:tcPr>
            <w:tcW w:type="dxa" w:w="2665"/>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Nature de différence</w:t>
            </w:r>
          </w:p>
        </w:tc>
        <w:tc>
          <w:tcPr>
            <w:tcW w:type="dxa" w:w="7143"/>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Traitement proposé</w:t>
            </w:r>
          </w:p>
        </w:tc>
      </w:tr>
      <w:tr>
        <w:trPr>
          <w:cantSplit/>
        </w:trPr>
        <w:tc>
          <w:tcPr>
            <w:tcW w:type="dxa" w:w="2665"/>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Même responsabilité, politiques différentes</w:t>
            </w:r>
          </w:p>
        </w:tc>
        <w:tc>
          <w:tcPr>
            <w:tcW w:type="dxa" w:w="7143"/>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Capacité commune et contexte explicite, à condition que le résultat et l’engagement restent équivalents.</w:t>
            </w:r>
          </w:p>
        </w:tc>
      </w:tr>
      <w:tr>
        <w:trPr>
          <w:cantSplit/>
        </w:trPr>
        <w:tc>
          <w:tcPr>
            <w:tcW w:type="dxa" w:w="2665"/>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Même responsabilité, organisation différente</w:t>
            </w:r>
          </w:p>
        </w:tc>
        <w:tc>
          <w:tcPr>
            <w:tcW w:type="dxa" w:w="7143"/>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Processus/situations différents mobilisant une capacité commune.</w:t>
            </w:r>
          </w:p>
        </w:tc>
      </w:tr>
      <w:tr>
        <w:trPr>
          <w:cantSplit/>
        </w:trPr>
        <w:tc>
          <w:tcPr>
            <w:tcW w:type="dxa" w:w="2665"/>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Résultat ou engagement différent</w:t>
            </w:r>
          </w:p>
        </w:tc>
        <w:tc>
          <w:tcPr>
            <w:tcW w:type="dxa" w:w="7143"/>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Spécialisation ou capacité distincte à justifier.</w:t>
            </w:r>
          </w:p>
        </w:tc>
      </w:tr>
      <w:tr>
        <w:trPr>
          <w:cantSplit/>
        </w:trPr>
        <w:tc>
          <w:tcPr>
            <w:tcW w:type="dxa" w:w="2665"/>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Même besoin, implémentation différente</w:t>
            </w:r>
          </w:p>
        </w:tc>
        <w:tc>
          <w:tcPr>
            <w:tcW w:type="dxa" w:w="7143"/>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Plusieurs réalisations rattachées à la même capacité.</w:t>
            </w:r>
          </w:p>
        </w:tc>
      </w:tr>
    </w:tbl>
    <w:p>
      <w:pPr>
        <w:spacing w:before="60"/>
      </w:pPr>
      <w:r>
        <w:rPr>
          <w:b w:val="0"/>
          <w:i/>
          <w:color w:val="5C6872"/>
          <w:sz w:val="18"/>
        </w:rPr>
        <w:t>Sources et statut : U01–U03 ; F019–F025 ; P24–P26, P54–P55. Aucune généralisation de FIFO GBM à BRD ou Sarenza.</w:t>
      </w:r>
    </w:p>
    <w:p>
      <w:pPr>
        <w:pStyle w:val="Heading1"/>
        <w:keepNext/>
        <w:spacing w:before="360"/>
      </w:pPr>
      <w:r>
        <w:rPr>
          <w:b w:val="0"/>
          <w:i w:val="0"/>
        </w:rPr>
        <w:t>06 — GBM : inventaire organisationnel et applicatif</w:t>
      </w:r>
    </w:p>
    <w:p>
      <w:pPr/>
      <w:r>
        <w:rPr>
          <w:b w:val="0"/>
          <w:i w:val="0"/>
        </w:rPr>
        <w:t xml:space="preserve">GBM superpose un découpage par marque, une séparation organisationnelle B2C/B2B et des fonctions centralisées d’eCommerce, de logistique et d’intégration. Le tableau ci-dessous décrit les responsabilités rapportées, pas toutes les fonctionnalités des produits. </w:t>
      </w:r>
      <w:r>
        <w:rPr>
          <w:b w:val="0"/>
          <w:i w:val="0"/>
        </w:rPr>
        <w:t>[</w:t>
      </w:r>
      <w:r>
        <w:rPr>
          <w:b w:val="0"/>
          <w:i w:val="0"/>
        </w:rPr>
        <w:t>U03]</w:t>
      </w:r>
    </w:p>
    <w:tbl>
      <w:tblPr>
        <w:tblStyle w:val="TableGrid"/>
        <w:tblW w:type="auto" w:w="0"/>
        <w:jc w:val="center"/>
        <w:tblLayout w:type="fixed"/>
        <w:tblLook w:firstColumn="1" w:firstRow="1" w:lastColumn="0" w:lastRow="0" w:noHBand="0" w:noVBand="1" w:val="04A0"/>
        <w:tblBorders>
          <w:top w:val="single" w:sz="4" w:color="D8E2E7"/>
          <w:left w:val="single" w:sz="4" w:color="D8E2E7"/>
          <w:bottom w:val="single" w:sz="4" w:color="D8E2E7"/>
          <w:right w:val="single" w:sz="4" w:color="D8E2E7"/>
          <w:insideH w:val="single" w:sz="4" w:color="D8E2E7"/>
          <w:insideV w:val="single" w:sz="4" w:color="D8E2E7"/>
        </w:tblBorders>
      </w:tblPr>
      <w:tblGrid>
        <w:gridCol w:w="2268"/>
        <w:gridCol w:w="2948"/>
        <w:gridCol w:w="4592"/>
      </w:tblGrid>
      <w:tr>
        <w:trPr>
          <w:cantSplit/>
          <w:tblHeader w:val="true"/>
        </w:trPr>
        <w:tc>
          <w:tcPr>
            <w:tcW w:type="dxa" w:w="2268"/>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Composant / ensemble</w:t>
            </w:r>
          </w:p>
        </w:tc>
        <w:tc>
          <w:tcPr>
            <w:tcW w:type="dxa" w:w="2948"/>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Responsabilités déclarées</w:t>
            </w:r>
          </w:p>
        </w:tc>
        <w:tc>
          <w:tcPr>
            <w:tcW w:type="dxa" w:w="4592"/>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Réserve structurante</w:t>
            </w:r>
          </w:p>
        </w:tc>
      </w:tr>
      <w:tr>
        <w:trPr>
          <w:cantSplit/>
        </w:trPr>
        <w:tc>
          <w:tcPr>
            <w:tcW w:type="dxa" w:w="226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Storeland</w:t>
            </w:r>
          </w:p>
        </w:tc>
        <w:tc>
          <w:tcPr>
            <w:tcW w:type="dxa" w:w="294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Stock magasin, back-office, demandes stock-to-store et réassort automatique.</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Une instance Oracle par marque ; liste, versions et spécifiques inconnus.</w:t>
            </w:r>
          </w:p>
        </w:tc>
      </w:tr>
      <w:tr>
        <w:trPr>
          <w:cantSplit/>
        </w:trPr>
        <w:tc>
          <w:tcPr>
            <w:tcW w:type="dxa" w:w="226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Logiciels POS spécialisés</w:t>
            </w:r>
          </w:p>
        </w:tc>
        <w:tc>
          <w:tcPr>
            <w:tcW w:type="dxa" w:w="294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Caisse et commandes pour client final en magasin.</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Noms et périmètres non inventoriés ; ne pas les inventer.</w:t>
            </w:r>
          </w:p>
        </w:tc>
      </w:tr>
      <w:tr>
        <w:trPr>
          <w:cantSplit/>
        </w:trPr>
        <w:tc>
          <w:tcPr>
            <w:tcW w:type="dxa" w:w="226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Sites eCommerce de marque</w:t>
            </w:r>
          </w:p>
        </w:tc>
        <w:tc>
          <w:tcPr>
            <w:tcW w:type="dxa" w:w="294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Capture du parcours de commande eCommerce.</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Technologies et autorité commande non précisées.</w:t>
            </w:r>
          </w:p>
        </w:tc>
      </w:tr>
      <w:tr>
        <w:trPr>
          <w:cantSplit/>
        </w:trPr>
        <w:tc>
          <w:tcPr>
            <w:tcW w:type="dxa" w:w="226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UR / United Retail</w:t>
            </w:r>
          </w:p>
        </w:tc>
        <w:tc>
          <w:tcPr>
            <w:tcW w:type="dxa" w:w="294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Stock entrepôt présent ; réception de stocks magasin ; contribution multicanale eCommerce ; alignement C-Log.</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Cylande puis Cegid ; modules/versions/instances déployés non confirmés.</w:t>
            </w:r>
          </w:p>
        </w:tc>
      </w:tr>
      <w:tr>
        <w:trPr>
          <w:cantSplit/>
        </w:trPr>
        <w:tc>
          <w:tcPr>
            <w:tcW w:type="dxa" w:w="226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Socloz</w:t>
            </w:r>
          </w:p>
        </w:tc>
        <w:tc>
          <w:tcPr>
            <w:tcW w:type="dxa" w:w="294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Ship-from-store et extension de gamme.</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Localisation de chaque règle, réservation et état non établie.</w:t>
            </w:r>
          </w:p>
        </w:tc>
      </w:tr>
      <w:tr>
        <w:trPr>
          <w:cantSplit/>
        </w:trPr>
        <w:tc>
          <w:tcPr>
            <w:tcW w:type="dxa" w:w="226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Talend transverse</w:t>
            </w:r>
          </w:p>
        </w:tc>
        <w:tc>
          <w:tcPr>
            <w:tcW w:type="dxa" w:w="294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Orchestration des échanges de données, notamment batchs décrits.</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Ne pas présumer tous les flux groupe ou absence de logique métier.</w:t>
            </w:r>
          </w:p>
        </w:tc>
      </w:tr>
      <w:tr>
        <w:trPr>
          <w:cantSplit/>
        </w:trPr>
        <w:tc>
          <w:tcPr>
            <w:tcW w:type="dxa" w:w="226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Zoho</w:t>
            </w:r>
          </w:p>
        </w:tc>
        <w:tc>
          <w:tcPr>
            <w:tcW w:type="dxa" w:w="294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CRM clients B2B.</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Source de vérité de chaque attribut et édition non établies.</w:t>
            </w:r>
          </w:p>
        </w:tc>
      </w:tr>
      <w:tr>
        <w:trPr>
          <w:cantSplit/>
        </w:trPr>
        <w:tc>
          <w:tcPr>
            <w:tcW w:type="dxa" w:w="226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Elastic</w:t>
            </w:r>
          </w:p>
        </w:tc>
        <w:tc>
          <w:tcPr>
            <w:tcW w:type="dxa" w:w="294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Prise de commande B2B.</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Ne pas assimiler à Elasticsearch ; aval non décrit.</w:t>
            </w:r>
          </w:p>
        </w:tc>
      </w:tr>
      <w:tr>
        <w:trPr>
          <w:cantSplit/>
        </w:trPr>
        <w:tc>
          <w:tcPr>
            <w:tcW w:type="dxa" w:w="226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IRMA</w:t>
            </w:r>
          </w:p>
        </w:tc>
        <w:tc>
          <w:tcPr>
            <w:tcW w:type="dxa" w:w="294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Stocks optimaux ; calcul et référence des seuils minimum réassort.</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Sur Snowflake déclaré ; en déploiement ; couverture par marque inconnue.</w:t>
            </w:r>
          </w:p>
        </w:tc>
      </w:tr>
      <w:tr>
        <w:trPr>
          <w:cantSplit/>
        </w:trPr>
        <w:tc>
          <w:tcPr>
            <w:tcW w:type="dxa" w:w="226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SCORTEX</w:t>
            </w:r>
          </w:p>
        </w:tc>
        <w:tc>
          <w:tcPr>
            <w:tcW w:type="dxa" w:w="294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Outil historique remplacé par IRMA.</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Fin de vie ; retrait complet non démontré ; périmètre détaillé non fourni.</w:t>
            </w:r>
          </w:p>
        </w:tc>
      </w:tr>
      <w:tr>
        <w:trPr>
          <w:cantSplit/>
        </w:trPr>
        <w:tc>
          <w:tcPr>
            <w:tcW w:type="dxa" w:w="226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MAP</w:t>
            </w:r>
          </w:p>
        </w:tc>
        <w:tc>
          <w:tcPr>
            <w:tcW w:type="dxa" w:w="294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Forecast, protections logiques marque/canal, anticipation stockage, planification/émission demandes d’achat.</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Snowflake hypothétique ; consommateurs et autorité applicable non établis.</w:t>
            </w:r>
          </w:p>
        </w:tc>
      </w:tr>
      <w:tr>
        <w:trPr>
          <w:cantSplit/>
        </w:trPr>
        <w:tc>
          <w:tcPr>
            <w:tcW w:type="dxa" w:w="226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CBS</w:t>
            </w:r>
          </w:p>
        </w:tc>
        <w:tc>
          <w:tcPr>
            <w:tcW w:type="dxa" w:w="294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Suivi fabrication, fournisseur→port/Carrier, douanes entrepôts sous douane.</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Éditeur/technique non précisés ; lien avec application achats initiale à confirmer.</w:t>
            </w:r>
          </w:p>
        </w:tc>
      </w:tr>
      <w:tr>
        <w:trPr>
          <w:cantSplit/>
        </w:trPr>
        <w:tc>
          <w:tcPr>
            <w:tcW w:type="dxa" w:w="226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Application achats sur mesure initialement non nommée</w:t>
            </w:r>
          </w:p>
        </w:tc>
        <w:tc>
          <w:tcPr>
            <w:tcW w:type="dxa" w:w="294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Suivi opérationnel des commandes et circulation documentaire.</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Entrée de rapprochement ; ne signifie pas existence certaine d’un composant supplémentaire à CBS/MAP.</w:t>
            </w:r>
          </w:p>
        </w:tc>
      </w:tr>
      <w:tr>
        <w:trPr>
          <w:cantSplit/>
        </w:trPr>
        <w:tc>
          <w:tcPr>
            <w:tcW w:type="dxa" w:w="226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C-Log</w:t>
            </w:r>
          </w:p>
        </w:tc>
        <w:tc>
          <w:tcPr>
            <w:tcW w:type="dxa" w:w="294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Filiale logistique centralisée ; SI autonome ; DSI dédié.</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Pas un logiciel ; pas à absorber dans l’ERP commercial.</w:t>
            </w:r>
          </w:p>
        </w:tc>
      </w:tr>
      <w:tr>
        <w:trPr>
          <w:cantSplit/>
        </w:trPr>
        <w:tc>
          <w:tcPr>
            <w:tcW w:type="dxa" w:w="226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Crossroad — éditeur KBRW</w:t>
            </w:r>
          </w:p>
        </w:tc>
        <w:tc>
          <w:tcPr>
            <w:tcW w:type="dxa" w:w="294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Choix entrepôt/transporteur, construction de parcours dont transferts, suivi logistique et file d’erreur.</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Répartition WMS/TMS et composants techniques non documentée.</w:t>
            </w:r>
          </w:p>
        </w:tc>
      </w:tr>
    </w:tbl>
    <w:p>
      <w:pPr>
        <w:pStyle w:val="Heading2"/>
        <w:keepNext/>
      </w:pPr>
      <w:r>
        <w:rPr>
          <w:b w:val="0"/>
          <w:i w:val="0"/>
        </w:rPr>
        <w:t>Instances et réalisations</w:t>
      </w:r>
    </w:p>
    <w:p>
      <w:pPr/>
      <w:r>
        <w:rPr>
          <w:b w:val="0"/>
          <w:i w:val="0"/>
        </w:rPr>
        <w:t>Une instance Storeland par marque signifie une instance au sens Oracle. Laurent précise l’absence de middleware dans cette architecture. Cela ne contredit pas l’existence de Talend comme plateforme d’intégration transverse. La liste des marques, versions et spécifiques n’est pas encore fournie.</w:t>
      </w:r>
    </w:p>
    <w:p>
      <w:pPr/>
      <w:r>
        <w:rPr>
          <w:b w:val="0"/>
          <w:i w:val="0"/>
        </w:rPr>
        <w:t xml:space="preserve">Une même capacité pourra être exercée par plusieurs marques et réalisée par plusieurs instances du même produit. La duplication technique ne prouve ni différence métier ni parfaite équivalence. Les versions, périmètres d’exercice et variantes de règles doivent être reliés aux capacités, pas cachés dans leurs noms. </w:t>
      </w:r>
      <w:r>
        <w:rPr>
          <w:b w:val="0"/>
          <w:i w:val="0"/>
        </w:rPr>
        <w:t>[</w:t>
      </w:r>
      <w:r>
        <w:rPr>
          <w:b w:val="0"/>
          <w:i w:val="0"/>
        </w:rPr>
        <w:t>U03 ; P12]</w:t>
      </w:r>
    </w:p>
    <w:p>
      <w:pPr/>
      <w:r>
        <w:rPr>
          <w:b w:val="0"/>
          <w:i w:val="0"/>
        </w:rPr>
        <w:t xml:space="preserve">L’entrée « application achats sur mesure initiale » est une mention à rapprocher, pas un logiciel supplémentaire inventé. CBS est nommé plus tard pour le suivi fournisseur, MAP pour la demande d’achat. Leur articulation ne permet pas encore d’affirmer que CBS recouvre exactement le premier logiciel. </w:t>
      </w:r>
      <w:r>
        <w:rPr>
          <w:b w:val="0"/>
          <w:i w:val="0"/>
        </w:rPr>
        <w:t>[</w:t>
      </w:r>
      <w:r>
        <w:rPr>
          <w:b w:val="0"/>
          <w:i w:val="0"/>
        </w:rPr>
        <w:t>U03 ; U10 ; C22]</w:t>
      </w:r>
    </w:p>
    <w:p>
      <w:pPr>
        <w:pStyle w:val="Heading2"/>
        <w:keepNext/>
      </w:pPr>
      <w:r>
        <w:rPr>
          <w:b w:val="0"/>
          <w:i w:val="0"/>
        </w:rPr>
        <w:t>Relations établies et relations non établies</w:t>
      </w:r>
    </w:p>
    <w:p>
      <w:pPr/>
      <w:r>
        <w:rPr>
          <w:b w:val="0"/>
          <w:i w:val="0"/>
        </w:rPr>
        <w:t>Des stocks magasin remontent régulièrement de Storeland vers UR par batch. Des échanges d’alignement UR–SI C-Log sont également batchs ; Talend orchestre des échanges transverses. Les objets précis, sens de chaque message, fréquences, reprises et règles embarquées restent à inventorier.</w:t>
      </w:r>
    </w:p>
    <w:p>
      <w:pPr/>
      <w:r>
        <w:rPr>
          <w:b w:val="0"/>
          <w:i w:val="0"/>
        </w:rPr>
        <w:t xml:space="preserve">La liste Storeland/UR/Socloz ne prouve pas un passage obligatoire de toutes les commandes par ces trois composants, ni une séquence linéaire jusqu’à C-Log. Le sous-SI B2B est distinct dans l’organisation ; son isolement technique et ses stocks propres ne sont pas établis. Aucun flux direct Zoho→Elastic, Elastic→C-Log ou CBS→MAP n’est ajouté comme fait. Le registre des flux sépare les échanges déclarés des dépendances fonctionnelles. </w:t>
      </w:r>
      <w:r>
        <w:rPr>
          <w:b w:val="0"/>
          <w:i w:val="0"/>
        </w:rPr>
        <w:t>[</w:t>
      </w:r>
      <w:r>
        <w:rPr>
          <w:b w:val="0"/>
          <w:i w:val="0"/>
        </w:rPr>
        <w:t>P28 ; P31 ; FL01–FL21]</w:t>
      </w:r>
    </w:p>
    <w:p>
      <w:pPr>
        <w:spacing w:before="60"/>
      </w:pPr>
      <w:r>
        <w:rPr>
          <w:b w:val="0"/>
          <w:i/>
          <w:color w:val="5C6872"/>
          <w:sz w:val="18"/>
        </w:rPr>
        <w:t>Sources et statut : U03, U04, U06, U07, U10 ; F026–F046 ; registre composants et flux. La connaissance de versions génériques ne remplace pas le relevé du déploiement.</w:t>
      </w:r>
    </w:p>
    <w:p>
      <w:pPr>
        <w:pStyle w:val="Heading1"/>
        <w:keepNext/>
        <w:spacing w:before="360"/>
      </w:pPr>
      <w:r>
        <w:rPr>
          <w:b w:val="0"/>
          <w:i w:val="0"/>
        </w:rPr>
        <w:t>07 — GBM : commande eCommerce et ship-from-store</w:t>
      </w:r>
    </w:p>
    <w:p>
      <w:pPr>
        <w:pStyle w:val="Heading2"/>
        <w:keepNext/>
      </w:pPr>
      <w:r>
        <w:rPr>
          <w:b w:val="0"/>
          <w:i w:val="0"/>
        </w:rPr>
        <w:t>Parcours observé</w:t>
      </w:r>
    </w:p>
    <w:tbl>
      <w:tblPr>
        <w:tblStyle w:val="TableGrid"/>
        <w:tblW w:type="auto" w:w="0"/>
        <w:jc w:val="center"/>
        <w:tblLayout w:type="fixed"/>
        <w:tblLook w:firstColumn="1" w:firstRow="1" w:lastColumn="0" w:lastRow="0" w:noHBand="0" w:noVBand="1" w:val="04A0"/>
        <w:tblBorders>
          <w:top w:val="single" w:sz="4" w:color="D8E2E7"/>
          <w:left w:val="single" w:sz="4" w:color="D8E2E7"/>
          <w:bottom w:val="single" w:sz="4" w:color="D8E2E7"/>
          <w:right w:val="single" w:sz="4" w:color="D8E2E7"/>
          <w:insideH w:val="single" w:sz="4" w:color="D8E2E7"/>
          <w:insideV w:val="single" w:sz="4" w:color="D8E2E7"/>
        </w:tblBorders>
      </w:tblPr>
      <w:tblGrid>
        <w:gridCol w:w="2665"/>
        <w:gridCol w:w="7143"/>
      </w:tblGrid>
      <w:tr>
        <w:trPr>
          <w:cantSplit/>
          <w:tblHeader w:val="true"/>
        </w:trPr>
        <w:tc>
          <w:tcPr>
            <w:tcW w:type="dxa" w:w="2665"/>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Étape</w:t>
            </w:r>
          </w:p>
        </w:tc>
        <w:tc>
          <w:tcPr>
            <w:tcW w:type="dxa" w:w="7143"/>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Règle ou événement déclaré</w:t>
            </w:r>
          </w:p>
        </w:tc>
      </w:tr>
      <w:tr>
        <w:trPr>
          <w:cantSplit/>
        </w:trPr>
        <w:tc>
          <w:tcPr>
            <w:tcW w:type="dxa" w:w="2665"/>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1. Capture</w:t>
            </w:r>
          </w:p>
        </w:tc>
        <w:tc>
          <w:tcPr>
            <w:tcW w:type="dxa" w:w="7143"/>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Le client passe une commande sur le site eCommerce d’une marque.</w:t>
            </w:r>
          </w:p>
        </w:tc>
      </w:tr>
      <w:tr>
        <w:trPr>
          <w:cantSplit/>
        </w:trPr>
        <w:tc>
          <w:tcPr>
            <w:tcW w:type="dxa" w:w="2665"/>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2. Recherche entrepôt</w:t>
            </w:r>
          </w:p>
        </w:tc>
        <w:tc>
          <w:tcPr>
            <w:tcW w:type="dxa" w:w="7143"/>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Le parcours recherche d’abord l’article dans le stock entrepôt présent dans UR.</w:t>
            </w:r>
          </w:p>
        </w:tc>
      </w:tr>
      <w:tr>
        <w:trPr>
          <w:cantSplit/>
        </w:trPr>
        <w:tc>
          <w:tcPr>
            <w:tcW w:type="dxa" w:w="2665"/>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3. Branche entrepôt</w:t>
            </w:r>
          </w:p>
        </w:tc>
        <w:tc>
          <w:tcPr>
            <w:tcW w:type="dxa" w:w="7143"/>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C-Log prend en charge l’expédition ; il choisit l’entrepôt et le transporteur.</w:t>
            </w:r>
          </w:p>
        </w:tc>
      </w:tr>
      <w:tr>
        <w:trPr>
          <w:cantSplit/>
        </w:trPr>
        <w:tc>
          <w:tcPr>
            <w:tcW w:type="dxa" w:w="2665"/>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4. Branche magasin</w:t>
            </w:r>
          </w:p>
        </w:tc>
        <w:tc>
          <w:tcPr>
            <w:tcW w:type="dxa" w:w="7143"/>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Le parcours recherche les magasins disposant de l’article et éligibles au ship-from-store.</w:t>
            </w:r>
          </w:p>
        </w:tc>
      </w:tr>
      <w:tr>
        <w:trPr>
          <w:cantSplit/>
        </w:trPr>
        <w:tc>
          <w:tcPr>
            <w:tcW w:type="dxa" w:w="2665"/>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5. Éligibilité</w:t>
            </w:r>
          </w:p>
        </w:tc>
        <w:tc>
          <w:tcPr>
            <w:tcW w:type="dxa" w:w="7143"/>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Le magasin participe au service et n’a pas atteint son quota journalier et/ou hebdomadaire.</w:t>
            </w:r>
          </w:p>
        </w:tc>
      </w:tr>
      <w:tr>
        <w:trPr>
          <w:cantSplit/>
        </w:trPr>
        <w:tc>
          <w:tcPr>
            <w:tcW w:type="dxa" w:w="2665"/>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6. Classement</w:t>
            </w:r>
          </w:p>
        </w:tc>
        <w:tc>
          <w:tcPr>
            <w:tcW w:type="dxa" w:w="7143"/>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Le premier sollicité est le magasin le moins sollicité parmi les éligibles.</w:t>
            </w:r>
          </w:p>
        </w:tc>
      </w:tr>
      <w:tr>
        <w:trPr>
          <w:cantSplit/>
        </w:trPr>
        <w:tc>
          <w:tcPr>
            <w:tcW w:type="dxa" w:w="2665"/>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7. Sollicitation</w:t>
            </w:r>
          </w:p>
        </w:tc>
        <w:tc>
          <w:tcPr>
            <w:tcW w:type="dxa" w:w="7143"/>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Une demande de packing/shipping est adressée au magasin ; délai de réponse de 15 minutes.</w:t>
            </w:r>
          </w:p>
        </w:tc>
      </w:tr>
      <w:tr>
        <w:trPr>
          <w:cantSplit/>
        </w:trPr>
        <w:tc>
          <w:tcPr>
            <w:tcW w:type="dxa" w:w="2665"/>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8. Échec de tentative</w:t>
            </w:r>
          </w:p>
        </w:tc>
        <w:tc>
          <w:tcPr>
            <w:tcW w:type="dxa" w:w="7143"/>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Refus ou absence de réponse : annulation de la demande de ce magasin, puis nouvelle sollicitation du suivant.</w:t>
            </w:r>
          </w:p>
        </w:tc>
      </w:tr>
      <w:tr>
        <w:trPr>
          <w:cantSplit/>
        </w:trPr>
        <w:tc>
          <w:tcPr>
            <w:tcW w:type="dxa" w:w="2665"/>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9. Escalade</w:t>
            </w:r>
          </w:p>
        </w:tc>
        <w:tc>
          <w:tcPr>
            <w:tcW w:type="dxa" w:w="7143"/>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À défaut de prise en charge, une alerte conduit un responsable commercial de la marque à appeler les magasins.</w:t>
            </w:r>
          </w:p>
        </w:tc>
      </w:tr>
      <w:tr>
        <w:trPr>
          <w:cantSplit/>
        </w:trPr>
        <w:tc>
          <w:tcPr>
            <w:tcW w:type="dxa" w:w="2665"/>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10. Délai d’escalade</w:t>
            </w:r>
          </w:p>
        </w:tc>
        <w:tc>
          <w:tcPr>
            <w:tcW w:type="dxa" w:w="7143"/>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L’échéance dans la journée reste incertaine : Laurent dit « il me semble ».</w:t>
            </w:r>
          </w:p>
        </w:tc>
      </w:tr>
    </w:tbl>
    <w:p>
      <w:pPr/>
      <w:r>
        <w:rPr>
          <w:b/>
          <w:i w:val="0"/>
        </w:rPr>
        <w:t>La commande client reste ouverte pendant les tentatives successives.</w:t>
      </w:r>
      <w:r>
        <w:rPr>
          <w:b w:val="0"/>
          <w:i w:val="0"/>
        </w:rPr>
        <w:t xml:space="preserve"> Laurent l’a confirmé par « Oui » à la question portant explicitement sur la distinction commande client/demande magasin. Il ne s’agit ni d’une annulation commerciale ni d’une recréation de vente. La nouvelle tentative doit rester rattachée au même besoin client ; la représentation technique n’est pas décrite. </w:t>
      </w:r>
      <w:r>
        <w:rPr>
          <w:b w:val="0"/>
          <w:i w:val="0"/>
        </w:rPr>
        <w:t>[</w:t>
      </w:r>
      <w:r>
        <w:rPr>
          <w:b w:val="0"/>
          <w:i w:val="0"/>
        </w:rPr>
        <w:t>U04 ; U05 ; C07]</w:t>
      </w:r>
    </w:p>
    <w:p>
      <w:pPr/>
      <w:r>
        <w:rPr>
          <w:b w:val="0"/>
          <w:i w:val="0"/>
        </w:rPr>
        <w:t xml:space="preserve">Les quotas ont une raison organisationnelle déclarée : les équipes magasin privilégient le travail de vente, et l’expédition consomme leur temps. Le quota encadre cette charge. Le rôle exact qui le fixe, l’outil de référence et le compteur de consommation ne sont pas connus. </w:t>
      </w:r>
      <w:r>
        <w:rPr>
          <w:b w:val="0"/>
          <w:i w:val="0"/>
        </w:rPr>
        <w:t>[</w:t>
      </w:r>
      <w:r>
        <w:rPr>
          <w:b w:val="0"/>
          <w:i w:val="0"/>
        </w:rPr>
        <w:t>U04]</w:t>
      </w:r>
    </w:p>
    <w:p>
      <w:pPr>
        <w:pStyle w:val="Heading2"/>
        <w:keepNext/>
      </w:pPr>
      <w:r>
        <w:rPr>
          <w:b w:val="0"/>
          <w:i w:val="0"/>
        </w:rPr>
        <w:t>Trois conditions non équivalentes</w:t>
      </w:r>
    </w:p>
    <w:p>
      <w:pPr/>
      <w:r>
        <w:rPr>
          <w:b w:val="0"/>
          <w:i w:val="0"/>
        </w:rPr>
        <w:t xml:space="preserve">Le cas sépare </w:t>
      </w:r>
      <w:r>
        <w:rPr>
          <w:b/>
          <w:i w:val="0"/>
        </w:rPr>
        <w:t>avoir l’article</w:t>
      </w:r>
      <w:r>
        <w:rPr>
          <w:b w:val="0"/>
          <w:i w:val="0"/>
        </w:rPr>
        <w:t xml:space="preserve">, </w:t>
      </w:r>
      <w:r>
        <w:rPr>
          <w:b/>
          <w:i w:val="0"/>
        </w:rPr>
        <w:t>être éligible et disposer de capacité de service</w:t>
      </w:r>
      <w:r>
        <w:rPr>
          <w:b w:val="0"/>
          <w:i w:val="0"/>
        </w:rPr>
        <w:t xml:space="preserve">, puis </w:t>
      </w:r>
      <w:r>
        <w:rPr>
          <w:b/>
          <w:i w:val="0"/>
        </w:rPr>
        <w:t>accepter la demande particulière</w:t>
      </w:r>
      <w:r>
        <w:rPr>
          <w:b w:val="0"/>
          <w:i w:val="0"/>
        </w:rPr>
        <w:t>. Un magasin peut avoir du stock mais être hors quota. Un magasin sélectionné peut refuser ou ne pas répondre. La sélection ne prouve donc ni acceptation ni réservation.</w:t>
      </w:r>
    </w:p>
    <w:p>
      <w:pPr/>
      <w:r>
        <w:rPr>
          <w:b w:val="0"/>
          <w:i w:val="0"/>
        </w:rPr>
        <w:t xml:space="preserve">Ces distinctions sont proposées pour la définition des capacités, pas comme un schéma de tables. De même, attendre quinze minutes est une règle d’exécution, pas une capacité autonome. Le résultat recherché est la prise en charge et, en cas d’échec, la résolution d’une situation. </w:t>
      </w:r>
      <w:r>
        <w:rPr>
          <w:b w:val="0"/>
          <w:i w:val="0"/>
        </w:rPr>
        <w:t>[</w:t>
      </w:r>
      <w:r>
        <w:rPr>
          <w:b w:val="0"/>
          <w:i w:val="0"/>
        </w:rPr>
        <w:t>P32–P36]</w:t>
      </w:r>
    </w:p>
    <w:p>
      <w:pPr>
        <w:pStyle w:val="Heading2"/>
        <w:keepNext/>
      </w:pPr>
      <w:r>
        <w:rPr>
          <w:b w:val="0"/>
          <w:i w:val="0"/>
        </w:rPr>
        <w:t>Ce qui reste ouvert</w:t>
      </w:r>
    </w:p>
    <w:p>
      <w:pPr/>
      <w:r>
        <w:rPr>
          <w:b w:val="0"/>
          <w:i w:val="0"/>
        </w:rPr>
        <w:t>La mesure « moins sollicité » pourrait désigner des demandes reçues, acceptées, réalisées ou une charge relative au quota : le fil ne tranche pas. La consommation/restitution du quota, la réservation/libération du stock et les réponses tardives restent à décrire. Le parcours est raconté au grain article ; il ne précise pas le traitement des commandes multi-articles, des quantités partielles ou des splits.</w:t>
      </w:r>
    </w:p>
    <w:p>
      <w:pPr/>
      <w:r>
        <w:rPr>
          <w:b w:val="0"/>
          <w:i w:val="0"/>
        </w:rPr>
        <w:t>Socloz est identifié comme contributeur du ship-from-store, mais chaque règle ne lui est pas attribuée automatiquement. Le système qui fait autorité sur la commande client, les tentatives et les engagements est encore à identifier.</w:t>
      </w:r>
    </w:p>
    <w:p>
      <w:pPr/>
      <w:r>
        <w:rPr>
          <w:b w:val="0"/>
          <w:i w:val="0"/>
        </w:rPr>
        <w:t xml:space="preserve">L’intervention du responsable commercial est établie ; ses pouvoirs de dérogation, les suites possibles et la décision finale ne le sont pas. Le parcours nominal est réglé ; l’escalade ouvre une résolution humaine qui peut justifier une Situation. Cela ne rend pas tout le parcours non déterministe. </w:t>
      </w:r>
      <w:r>
        <w:rPr>
          <w:b w:val="0"/>
          <w:i w:val="0"/>
        </w:rPr>
        <w:t>[</w:t>
      </w:r>
      <w:r>
        <w:rPr>
          <w:b w:val="0"/>
          <w:i w:val="0"/>
        </w:rPr>
        <w:t>P35]</w:t>
      </w:r>
    </w:p>
    <w:p>
      <w:pPr>
        <w:spacing w:before="60"/>
      </w:pPr>
      <w:r>
        <w:rPr>
          <w:b w:val="0"/>
          <w:i/>
          <w:color w:val="5C6872"/>
          <w:sz w:val="18"/>
        </w:rPr>
        <w:t>Sources et statut : U03–U05 ; F047–F063 ; FL04, FL06–FL10 ; Q015–Q023. Le délai 15 minutes est déclaré, celui de journée reste hypothétique.</w:t>
      </w:r>
    </w:p>
    <w:p>
      <w:pPr>
        <w:pStyle w:val="Heading1"/>
        <w:keepNext/>
        <w:spacing w:before="360"/>
      </w:pPr>
      <w:r>
        <w:rPr>
          <w:b w:val="0"/>
          <w:i w:val="0"/>
        </w:rPr>
        <w:t>08 — GBM : réassort, IRMA et transition SCORTEX</w:t>
      </w:r>
    </w:p>
    <w:p>
      <w:pPr/>
      <w:r>
        <w:rPr>
          <w:b w:val="0"/>
          <w:i w:val="0"/>
        </w:rPr>
        <w:t xml:space="preserve">Dans le vocabulaire de Laurent, </w:t>
      </w:r>
      <w:r>
        <w:rPr>
          <w:b/>
          <w:i w:val="0"/>
        </w:rPr>
        <w:t>produit au grain fin de vente = article = SKU = variant référence produit–taille–couleur</w:t>
      </w:r>
      <w:r>
        <w:rPr>
          <w:b w:val="0"/>
          <w:i w:val="0"/>
        </w:rPr>
        <w:t xml:space="preserve">. Le dossier retient « article (SKU) » pour cette maille. Cette convention locale ne doit pas être imposée à tous les dictionnaires applicatifs sans rapprochement. </w:t>
      </w:r>
      <w:r>
        <w:rPr>
          <w:b w:val="0"/>
          <w:i w:val="0"/>
        </w:rPr>
        <w:t>[</w:t>
      </w:r>
      <w:r>
        <w:rPr>
          <w:b w:val="0"/>
          <w:i w:val="0"/>
        </w:rPr>
        <w:t>U06 ; F064]</w:t>
      </w:r>
    </w:p>
    <w:p>
      <w:pPr/>
      <w:r>
        <w:rPr>
          <w:b w:val="0"/>
          <w:i w:val="0"/>
        </w:rPr>
        <w:t xml:space="preserve">Storeland lance automatiquement une demande de réassort lorsque le stock de cet article atteint un seuil minimum. IRMA, hors Storeland, calcule les stocks optimaux et les seuils ; il est la source de vérité déclarée des seuils minimum. IRMA est un développement sur mesure sur Snowflake, en cours de déploiement, qui remplace SCORTEX en fin de vie. </w:t>
      </w:r>
      <w:r>
        <w:rPr>
          <w:b/>
          <w:i w:val="0"/>
        </w:rPr>
        <w:t>SCORTEX</w:t>
      </w:r>
      <w:r>
        <w:rPr>
          <w:b w:val="0"/>
          <w:i w:val="0"/>
        </w:rPr>
        <w:t xml:space="preserve"> est le nom explicitement retenu après correction de « SCO-TEX ». </w:t>
      </w:r>
      <w:r>
        <w:rPr>
          <w:b w:val="0"/>
          <w:i w:val="0"/>
        </w:rPr>
        <w:t>[</w:t>
      </w:r>
      <w:r>
        <w:rPr>
          <w:b w:val="0"/>
          <w:i w:val="0"/>
        </w:rPr>
        <w:t>U06 ; U07]</w:t>
      </w:r>
    </w:p>
    <w:tbl>
      <w:tblPr>
        <w:tblStyle w:val="TableGrid"/>
        <w:tblW w:type="auto" w:w="0"/>
        <w:jc w:val="center"/>
        <w:tblLayout w:type="fixed"/>
        <w:tblLook w:firstColumn="1" w:firstRow="1" w:lastColumn="0" w:lastRow="0" w:noHBand="0" w:noVBand="1" w:val="04A0"/>
        <w:tblBorders>
          <w:top w:val="single" w:sz="4" w:color="D8E2E7"/>
          <w:left w:val="single" w:sz="4" w:color="D8E2E7"/>
          <w:bottom w:val="single" w:sz="4" w:color="D8E2E7"/>
          <w:right w:val="single" w:sz="4" w:color="D8E2E7"/>
          <w:insideH w:val="single" w:sz="4" w:color="D8E2E7"/>
          <w:insideV w:val="single" w:sz="4" w:color="D8E2E7"/>
        </w:tblBorders>
      </w:tblPr>
      <w:tblGrid>
        <w:gridCol w:w="2268"/>
        <w:gridCol w:w="2948"/>
        <w:gridCol w:w="4592"/>
      </w:tblGrid>
      <w:tr>
        <w:trPr>
          <w:cantSplit/>
          <w:tblHeader w:val="true"/>
        </w:trPr>
        <w:tc>
          <w:tcPr>
            <w:tcW w:type="dxa" w:w="2268"/>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Responsabilité</w:t>
            </w:r>
          </w:p>
        </w:tc>
        <w:tc>
          <w:tcPr>
            <w:tcW w:type="dxa" w:w="2948"/>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Réalisation connue</w:t>
            </w:r>
          </w:p>
        </w:tc>
        <w:tc>
          <w:tcPr>
            <w:tcW w:type="dxa" w:w="4592"/>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À ne pas en déduire</w:t>
            </w:r>
          </w:p>
        </w:tc>
      </w:tr>
      <w:tr>
        <w:trPr>
          <w:cantSplit/>
        </w:trPr>
        <w:tc>
          <w:tcPr>
            <w:tcW w:type="dxa" w:w="226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Déterminer stocks optimaux et seuils</w:t>
            </w:r>
          </w:p>
        </w:tc>
        <w:tc>
          <w:tcPr>
            <w:tcW w:type="dxa" w:w="294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IRMA.</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Tous les horizons, critères et formules sont connus.</w:t>
            </w:r>
          </w:p>
        </w:tc>
      </w:tr>
      <w:tr>
        <w:trPr>
          <w:cantSplit/>
        </w:trPr>
        <w:tc>
          <w:tcPr>
            <w:tcW w:type="dxa" w:w="226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Porter la référence des seuils</w:t>
            </w:r>
          </w:p>
        </w:tc>
        <w:tc>
          <w:tcPr>
            <w:tcW w:type="dxa" w:w="294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IRMA, selon la déclaration.</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IRMA est déjà la seule autorité sur toutes les marques.</w:t>
            </w:r>
          </w:p>
        </w:tc>
      </w:tr>
      <w:tr>
        <w:trPr>
          <w:cantSplit/>
        </w:trPr>
        <w:tc>
          <w:tcPr>
            <w:tcW w:type="dxa" w:w="226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Tenir le stock magasin</w:t>
            </w:r>
          </w:p>
        </w:tc>
        <w:tc>
          <w:tcPr>
            <w:tcW w:type="dxa" w:w="294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Storeland par marque.</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Storeland définit lui-même la politique optimale.</w:t>
            </w:r>
          </w:p>
        </w:tc>
      </w:tr>
      <w:tr>
        <w:trPr>
          <w:cantSplit/>
        </w:trPr>
        <w:tc>
          <w:tcPr>
            <w:tcW w:type="dxa" w:w="226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Détecter le seuil et déclencher</w:t>
            </w:r>
          </w:p>
        </w:tc>
        <w:tc>
          <w:tcPr>
            <w:tcW w:type="dxa" w:w="294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Storeland.</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La quantité demandée vaut forcément stock optimal moins stock courant.</w:t>
            </w:r>
          </w:p>
        </w:tc>
      </w:tr>
      <w:tr>
        <w:trPr>
          <w:cantSplit/>
        </w:trPr>
        <w:tc>
          <w:tcPr>
            <w:tcW w:type="dxa" w:w="226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Organiser l’exécution logistique</w:t>
            </w:r>
          </w:p>
        </w:tc>
        <w:tc>
          <w:tcPr>
            <w:tcW w:type="dxa" w:w="294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C-Log pour les demandes qui lui sont adressées.</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Le chemin technique Storeland→UR→C-Log est intégralement démontré.</w:t>
            </w:r>
          </w:p>
        </w:tc>
      </w:tr>
    </w:tbl>
    <w:p>
      <w:pPr/>
      <w:r>
        <w:rPr>
          <w:b w:val="0"/>
          <w:i w:val="0"/>
        </w:rPr>
        <w:t xml:space="preserve">La chaîne permet d’éprouver trois responsabilités : déterminer les paramètres, tenir les paramètres applicables et déclencher la demande. Leur séparation en sous-capacités n’est pas encore actée. Une seule application peut contribuer à plusieurs responsabilités ; le dictionnaire de verbes doit rendre cela visible. </w:t>
      </w:r>
      <w:r>
        <w:rPr>
          <w:b w:val="0"/>
          <w:i w:val="0"/>
        </w:rPr>
        <w:t>[</w:t>
      </w:r>
      <w:r>
        <w:rPr>
          <w:b w:val="0"/>
          <w:i w:val="0"/>
        </w:rPr>
        <w:t>P48]</w:t>
      </w:r>
    </w:p>
    <w:p>
      <w:pPr/>
      <w:r>
        <w:rPr>
          <w:b w:val="0"/>
          <w:i w:val="0"/>
        </w:rPr>
        <w:t xml:space="preserve">L’usage de Snowflake ne classe pas automatiquement IRMA dans le post-op. Le calcul sert ici directement une opération de réassort. Son inclusion opérationnelle est une proposition cohérente avec le cadrage, distincte de la planification de saison. </w:t>
      </w:r>
      <w:r>
        <w:rPr>
          <w:b w:val="0"/>
          <w:i w:val="0"/>
        </w:rPr>
        <w:t>[</w:t>
      </w:r>
      <w:r>
        <w:rPr>
          <w:b w:val="0"/>
          <w:i w:val="0"/>
        </w:rPr>
        <w:t>P37]</w:t>
      </w:r>
    </w:p>
    <w:p>
      <w:pPr/>
      <w:r>
        <w:rPr>
          <w:b w:val="0"/>
          <w:i w:val="0"/>
        </w:rPr>
        <w:t>La relation IRMA→Storeland est une dépendance fonctionnelle évidente dans le récit : les seuils sont utilisés. Le moyen de publication, la fréquence, le versionnement, la date de prise d’effet et l’interface directe éventuelle ne sont pas documentés. Ils sont donc laissés ouverts.</w:t>
      </w:r>
    </w:p>
    <w:p>
      <w:pPr/>
      <w:r>
        <w:rPr>
          <w:b w:val="0"/>
          <w:i w:val="0"/>
        </w:rPr>
        <w:t>La migration doit être décrite par marque et période. Une coexistence est possible pendant un déploiement, mais le dossier n’invente pas de calendrier ni de répartition. La quantité de réassort et l’existence de demandes manuelles restent à documenter ; le récit de l’automatique ne prouve pas leur absence.</w:t>
      </w:r>
    </w:p>
    <w:p>
      <w:pPr>
        <w:pStyle w:val="Heading2"/>
        <w:keepNext/>
      </w:pPr>
      <w:r>
        <w:rPr>
          <w:b w:val="0"/>
          <w:i w:val="0"/>
        </w:rPr>
        <w:t>IRMA n’est pas MAP</w:t>
      </w:r>
    </w:p>
    <w:p>
      <w:pPr/>
      <w:r>
        <w:rPr>
          <w:b w:val="0"/>
          <w:i w:val="0"/>
        </w:rPr>
        <w:t xml:space="preserve">IRMA porte les objectifs et seuils de réassort magasin décrits. MAP porte notamment des protections logiques par marque/canal et des résultats de planification. Le mot « seuil » apparaît dans les deux récits ; il ne démontre ni identité des objets ni duplication fonctionnelle. Une dépendance entre enveloppes MAP et paramètres IRMA est à rechercher, pas à inventer. </w:t>
      </w:r>
      <w:r>
        <w:rPr>
          <w:b w:val="0"/>
          <w:i w:val="0"/>
        </w:rPr>
        <w:t>[</w:t>
      </w:r>
      <w:r>
        <w:rPr>
          <w:b w:val="0"/>
          <w:i w:val="0"/>
        </w:rPr>
        <w:t>U06 ; U10 ; Q027]</w:t>
      </w:r>
    </w:p>
    <w:p>
      <w:pPr>
        <w:spacing w:before="60"/>
      </w:pPr>
      <w:r>
        <w:rPr>
          <w:b w:val="0"/>
          <w:i/>
          <w:color w:val="5C6872"/>
          <w:sz w:val="18"/>
        </w:rPr>
        <w:t>Sources et statut : F064–F071 ; C09, C11, C16 ; Q009, Q024–Q027. Sur Snowflake : déclaration explicite pour IRMA, hypothèse seulement pour MAP.</w:t>
      </w:r>
    </w:p>
    <w:p>
      <w:pPr>
        <w:pStyle w:val="Heading1"/>
        <w:keepNext/>
        <w:spacing w:before="360"/>
      </w:pPr>
      <w:r>
        <w:rPr>
          <w:b w:val="0"/>
          <w:i w:val="0"/>
        </w:rPr>
        <w:t>09 — GBM : MAP, CBS et rééquilibrage des allocations</w:t>
      </w:r>
    </w:p>
    <w:p>
      <w:pPr/>
      <w:r>
        <w:rPr>
          <w:b w:val="0"/>
          <w:i w:val="0"/>
        </w:rPr>
        <w:t xml:space="preserve">Ce chapitre intègre l’ensemble du complément U10. </w:t>
      </w:r>
      <w:r>
        <w:rPr>
          <w:b/>
          <w:i w:val="0"/>
        </w:rPr>
        <w:t>MAP est un outil sur mesure de calcul de planification à trois niveaux. Son implémentation sur Snowflake est seulement supposée par Laurent.</w:t>
      </w:r>
      <w:r>
        <w:rPr>
          <w:b w:val="0"/>
          <w:i w:val="0"/>
        </w:rPr>
        <w:t xml:space="preserve"> Aucun catalogue public n’est utilisé pour compléter artificiellement ses fonctions. </w:t>
      </w:r>
      <w:r>
        <w:rPr>
          <w:b w:val="0"/>
          <w:i w:val="0"/>
        </w:rPr>
        <w:t>[</w:t>
      </w:r>
      <w:r>
        <w:rPr>
          <w:b w:val="0"/>
          <w:i w:val="0"/>
        </w:rPr>
        <w:t>F086–F087]</w:t>
      </w:r>
    </w:p>
    <w:tbl>
      <w:tblPr>
        <w:tblStyle w:val="TableGrid"/>
        <w:tblW w:type="auto" w:w="0"/>
        <w:jc w:val="center"/>
        <w:tblLayout w:type="fixed"/>
        <w:tblLook w:firstColumn="1" w:firstRow="1" w:lastColumn="0" w:lastRow="0" w:noHBand="0" w:noVBand="1" w:val="04A0"/>
        <w:tblBorders>
          <w:top w:val="single" w:sz="4" w:color="D8E2E7"/>
          <w:left w:val="single" w:sz="4" w:color="D8E2E7"/>
          <w:bottom w:val="single" w:sz="4" w:color="D8E2E7"/>
          <w:right w:val="single" w:sz="4" w:color="D8E2E7"/>
          <w:insideH w:val="single" w:sz="4" w:color="D8E2E7"/>
          <w:insideV w:val="single" w:sz="4" w:color="D8E2E7"/>
        </w:tblBorders>
      </w:tblPr>
      <w:tblGrid>
        <w:gridCol w:w="2268"/>
        <w:gridCol w:w="2948"/>
        <w:gridCol w:w="4592"/>
      </w:tblGrid>
      <w:tr>
        <w:trPr>
          <w:cantSplit/>
          <w:tblHeader w:val="true"/>
        </w:trPr>
        <w:tc>
          <w:tcPr>
            <w:tcW w:type="dxa" w:w="2268"/>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Niveau de MAP</w:t>
            </w:r>
          </w:p>
        </w:tc>
        <w:tc>
          <w:tcPr>
            <w:tcW w:type="dxa" w:w="2948"/>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Fonctions déclarées</w:t>
            </w:r>
          </w:p>
        </w:tc>
        <w:tc>
          <w:tcPr>
            <w:tcW w:type="dxa" w:w="4592"/>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Sorties / interlocuteurs connus</w:t>
            </w:r>
          </w:p>
        </w:tc>
      </w:tr>
      <w:tr>
        <w:trPr>
          <w:cantSplit/>
        </w:trPr>
        <w:tc>
          <w:tcPr>
            <w:tcW w:type="dxa" w:w="226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Forecast</w:t>
            </w:r>
          </w:p>
        </w:tc>
        <w:tc>
          <w:tcPr>
            <w:tcW w:type="dxa" w:w="294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Prévisions de vente par marque, modèle, couleur et taille ; prévisions par canal.</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Consommateurs, horizons et versions non détaillés.</w:t>
            </w:r>
          </w:p>
        </w:tc>
      </w:tr>
      <w:tr>
        <w:trPr>
          <w:cantSplit/>
        </w:trPr>
        <w:tc>
          <w:tcPr>
            <w:tcW w:type="dxa" w:w="226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Allocation au sens large</w:t>
            </w:r>
          </w:p>
        </w:tc>
        <w:tc>
          <w:tcPr>
            <w:tcW w:type="dxa" w:w="294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Protection du stock logique par marque/canal : seuils et volumes ; anticipation du stockage.</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L’anticipation du stockage est transmise à C-Log. Le système qui applique les protections n’est pas nommé.</w:t>
            </w:r>
          </w:p>
        </w:tc>
      </w:tr>
      <w:tr>
        <w:trPr>
          <w:cantSplit/>
        </w:trPr>
        <w:tc>
          <w:tcPr>
            <w:tcW w:type="dxa" w:w="226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Achats</w:t>
            </w:r>
          </w:p>
        </w:tc>
        <w:tc>
          <w:tcPr>
            <w:tcW w:type="dxa" w:w="294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Planification des demandes d’achat fournisseurs et des lotissements.</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MAP réalise la demande d’achat fournisseur ; le statut d’engagement ferme n’est pas établi.</w:t>
            </w:r>
          </w:p>
        </w:tc>
      </w:tr>
    </w:tbl>
    <w:p>
      <w:pPr>
        <w:pStyle w:val="Heading2"/>
        <w:keepNext/>
      </w:pPr>
      <w:r>
        <w:rPr>
          <w:b w:val="0"/>
          <w:i w:val="0"/>
        </w:rPr>
        <w:t>Répartition MAP / CBS</w:t>
      </w:r>
    </w:p>
    <w:p>
      <w:pPr/>
      <w:r>
        <w:rPr>
          <w:b w:val="0"/>
          <w:i w:val="0"/>
        </w:rPr>
        <w:t xml:space="preserve">La réponse à « qui réalise la demande d’achat fournisseur ? » est </w:t>
      </w:r>
      <w:r>
        <w:rPr>
          <w:b/>
          <w:i w:val="0"/>
        </w:rPr>
        <w:t>MAP</w:t>
      </w:r>
      <w:r>
        <w:rPr>
          <w:b w:val="0"/>
          <w:i w:val="0"/>
        </w:rPr>
        <w:t xml:space="preserve">. La réponse à « qui suit la fabrication, la livraison fournisseur vers le port/Carrier et la gestion des douanes pour les entrepôts sous douane ? » est </w:t>
      </w:r>
      <w:r>
        <w:rPr>
          <w:b/>
          <w:i w:val="0"/>
        </w:rPr>
        <w:t>CBS</w:t>
      </w:r>
      <w:r>
        <w:rPr>
          <w:b w:val="0"/>
          <w:i w:val="0"/>
        </w:rPr>
        <w:t xml:space="preserve">. </w:t>
      </w:r>
      <w:r>
        <w:rPr>
          <w:b w:val="0"/>
          <w:i w:val="0"/>
        </w:rPr>
        <w:t>[</w:t>
      </w:r>
      <w:r>
        <w:rPr>
          <w:b w:val="0"/>
          <w:i w:val="0"/>
        </w:rPr>
        <w:t>U10]</w:t>
      </w:r>
    </w:p>
    <w:p>
      <w:pPr/>
      <w:r>
        <w:rPr>
          <w:b w:val="0"/>
          <w:i w:val="0"/>
        </w:rPr>
        <w:t>Le dossier distingue donc production de la demande et suivi de sa réalisation amont. Il ne transforme pas « demande d’achat » en « commande d’achat ferme » : la validation, l’émission au fournisseur et le point d’engagement restent à préciser. L’identité de CBS avec l’application sur mesure de suivi des achats évoquée dans U03 est plausible, mais n’a pas été explicitement confirmée.</w:t>
      </w:r>
    </w:p>
    <w:p>
      <w:pPr/>
      <w:r>
        <w:rPr>
          <w:b w:val="0"/>
          <w:i w:val="0"/>
        </w:rPr>
        <w:t xml:space="preserve">Le rôle de CBS peut produire ou collecter des faits utiles au recalcul. Toutefois, </w:t>
      </w:r>
      <w:r>
        <w:rPr>
          <w:b/>
          <w:i w:val="0"/>
        </w:rPr>
        <w:t>aucun flux direct CBS→MAP ni déclencheur technique n’a été décrit</w:t>
      </w:r>
      <w:r>
        <w:rPr>
          <w:b w:val="0"/>
          <w:i w:val="0"/>
        </w:rPr>
        <w:t>. Le signal d’aléa, l’acteur qui le constate et la chaîne de mise à jour restent des questions. Le terme Carrier est conservé dans son contexte, sans préciser un segment de transport non documenté.</w:t>
      </w:r>
    </w:p>
    <w:p>
      <w:pPr>
        <w:pStyle w:val="Heading2"/>
        <w:keepNext/>
      </w:pPr>
      <w:r>
        <w:rPr>
          <w:b w:val="0"/>
          <w:i w:val="0"/>
        </w:rPr>
        <w:t>Les trois cas de rééquilibrage</w:t>
      </w:r>
    </w:p>
    <w:tbl>
      <w:tblPr>
        <w:tblStyle w:val="TableGrid"/>
        <w:tblW w:type="auto" w:w="0"/>
        <w:jc w:val="center"/>
        <w:tblLayout w:type="fixed"/>
        <w:tblLook w:firstColumn="1" w:firstRow="1" w:lastColumn="0" w:lastRow="0" w:noHBand="0" w:noVBand="1" w:val="04A0"/>
        <w:tblBorders>
          <w:top w:val="single" w:sz="4" w:color="D8E2E7"/>
          <w:left w:val="single" w:sz="4" w:color="D8E2E7"/>
          <w:bottom w:val="single" w:sz="4" w:color="D8E2E7"/>
          <w:right w:val="single" w:sz="4" w:color="D8E2E7"/>
          <w:insideH w:val="single" w:sz="4" w:color="D8E2E7"/>
          <w:insideV w:val="single" w:sz="4" w:color="D8E2E7"/>
        </w:tblBorders>
      </w:tblPr>
      <w:tblGrid>
        <w:gridCol w:w="2268"/>
        <w:gridCol w:w="2948"/>
        <w:gridCol w:w="4592"/>
      </w:tblGrid>
      <w:tr>
        <w:trPr>
          <w:cantSplit/>
          <w:tblHeader w:val="true"/>
        </w:trPr>
        <w:tc>
          <w:tcPr>
            <w:tcW w:type="dxa" w:w="2268"/>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Cas discuté</w:t>
            </w:r>
          </w:p>
        </w:tc>
        <w:tc>
          <w:tcPr>
            <w:tcW w:type="dxa" w:w="2948"/>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Réponse de Laurent</w:t>
            </w:r>
          </w:p>
        </w:tc>
        <w:tc>
          <w:tcPr>
            <w:tcW w:type="dxa" w:w="4592"/>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Conséquence pour le relevé</w:t>
            </w:r>
          </w:p>
        </w:tc>
      </w:tr>
      <w:tr>
        <w:trPr>
          <w:cantSplit/>
        </w:trPr>
        <w:tc>
          <w:tcPr>
            <w:tcW w:type="dxa" w:w="226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1. Imprévu fabrication/livraison amont</w:t>
            </w:r>
          </w:p>
        </w:tc>
        <w:tc>
          <w:tcPr>
            <w:tcW w:type="dxa" w:w="294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MAP recalcule et relivre les données dans le système opérant en « annule et remplace ».</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Identifier le recalcul et la republication ; consommateurs, objets remplacés et effet sur engagements restent ouverts.</w:t>
            </w:r>
          </w:p>
        </w:tc>
      </w:tr>
      <w:tr>
        <w:trPr>
          <w:cantSplit/>
        </w:trPr>
        <w:tc>
          <w:tcPr>
            <w:tcW w:type="dxa" w:w="226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2. Demande non couverte par le stock</w:t>
            </w:r>
          </w:p>
        </w:tc>
        <w:tc>
          <w:tcPr>
            <w:tcW w:type="dxa" w:w="294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Cela n’arrive pas dans le modèle de vente décrit : on ne vend que ce qui est en stock.</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Pas de parcours nominal de vente sur approvisionnement futur déclaré pour GBM.</w:t>
            </w:r>
          </w:p>
        </w:tc>
      </w:tr>
      <w:tr>
        <w:trPr>
          <w:cantSplit/>
        </w:trPr>
        <w:tc>
          <w:tcPr>
            <w:tcW w:type="dxa" w:w="226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3. Nouvelle vente prioritaire, client Gold</w:t>
            </w:r>
          </w:p>
        </w:tc>
        <w:tc>
          <w:tcPr>
            <w:tcW w:type="dxa" w:w="294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Pas de repriorisation : FIFO, premier arrivé/premier servi. Un mauvais payeur est traité de la même manière jusqu’à sa sortie définitive.</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Ne pas attribuer à GBM une logique de retrait d’engagement à d’autres clients pour privilégier Gold.</w:t>
            </w:r>
          </w:p>
        </w:tc>
      </w:tr>
    </w:tbl>
    <w:p>
      <w:pPr/>
      <w:r>
        <w:rPr>
          <w:b/>
          <w:i w:val="0"/>
        </w:rPr>
        <w:t>L’« annule et remplace » de MAP porte sur des données republiées ; ce n’est pas une annulation de commandes clients attestée.</w:t>
      </w:r>
      <w:r>
        <w:rPr>
          <w:b w:val="0"/>
          <w:i w:val="0"/>
        </w:rPr>
        <w:t xml:space="preserve"> Il ne doit pas non plus être confondu avec l’annulation d’une tentative magasin du ship-from-store. Ces deux expressions concernent des objets différents. </w:t>
      </w:r>
      <w:r>
        <w:rPr>
          <w:b w:val="0"/>
          <w:i w:val="0"/>
        </w:rPr>
        <w:t>[</w:t>
      </w:r>
      <w:r>
        <w:rPr>
          <w:b w:val="0"/>
          <w:i w:val="0"/>
        </w:rPr>
        <w:t>C07 ; C17]</w:t>
      </w:r>
    </w:p>
    <w:p>
      <w:pPr/>
      <w:r>
        <w:rPr>
          <w:b/>
          <w:i w:val="0"/>
        </w:rPr>
        <w:t>FIFO désigne ici la priorité des demandes, pas la rotation physique des articles en entrepôt.</w:t>
      </w:r>
      <w:r>
        <w:rPr>
          <w:b w:val="0"/>
          <w:i w:val="0"/>
        </w:rPr>
        <w:t xml:space="preserve"> Son périmètre n’est pas connu : il peut être nécessaire de préciser marque, canal, file ou enveloppe protégée. La coexistence d’une protection marque/canal et d’un ordre d’arrivée n’est pas une contradiction démontrée : la question est de savoir quelles demandes sont réellement en concurrence. </w:t>
      </w:r>
      <w:r>
        <w:rPr>
          <w:b w:val="0"/>
          <w:i w:val="0"/>
        </w:rPr>
        <w:t>[</w:t>
      </w:r>
      <w:r>
        <w:rPr>
          <w:b w:val="0"/>
          <w:i w:val="0"/>
        </w:rPr>
        <w:t>Q037]</w:t>
      </w:r>
    </w:p>
    <w:p>
      <w:pPr/>
      <w:r>
        <w:rPr>
          <w:b w:val="0"/>
          <w:i w:val="0"/>
        </w:rPr>
        <w:t>Le maintien du même traitement d’un mauvais payeur avant exclusion ne décrit pas la procédure d’exclusion, son application aux commandes existantes ou une politique financière complète. Il s’agit d’une limite de la repriorisation commerciale racontée.</w:t>
      </w:r>
    </w:p>
    <w:p>
      <w:pPr/>
      <w:r>
        <w:rPr>
          <w:b w:val="0"/>
          <w:i w:val="0"/>
        </w:rPr>
        <w:t xml:space="preserve">La vente sur stock est une règle métier déclarée. Elle ne suffit pas à démontrer une impossibilité technique de survente, d’écart physique ou de retard de synchronisation. Inversement, le dossier ne prétend pas que ces anomalies ont été observées. Les garanties réelles devront être documentées. </w:t>
      </w:r>
      <w:r>
        <w:rPr>
          <w:b w:val="0"/>
          <w:i w:val="0"/>
        </w:rPr>
        <w:t>[</w:t>
      </w:r>
      <w:r>
        <w:rPr>
          <w:b w:val="0"/>
          <w:i w:val="0"/>
        </w:rPr>
        <w:t>C20 ; Q038]</w:t>
      </w:r>
    </w:p>
    <w:p>
      <w:pPr>
        <w:pStyle w:val="Heading2"/>
        <w:keepNext/>
      </w:pPr>
      <w:r>
        <w:rPr>
          <w:b w:val="0"/>
          <w:i w:val="0"/>
        </w:rPr>
        <w:t>Ce que cette découverte change dans l’analyse</w:t>
      </w:r>
    </w:p>
    <w:p>
      <w:pPr/>
      <w:r>
        <w:rPr>
          <w:b w:val="0"/>
          <w:i w:val="0"/>
        </w:rPr>
        <w:t>MAP ajoute une responsabilité de protection/révision des politiques et une responsabilité d’achat ; CBS précise le suivi de fabrication et de livraison amont. IRMA reste distinct pour le réassort magasin. La carte doit permettre de repérer le producteur d’un calcul, l’autorité sur sa version applicable, son point d’application et les décisions qu’il contraint. Ces quatre responsabilités ne sont pas encore attribuées partout.</w:t>
      </w:r>
    </w:p>
    <w:p>
      <w:pPr/>
      <w:r>
        <w:rPr>
          <w:b w:val="0"/>
          <w:i w:val="0"/>
        </w:rPr>
        <w:t xml:space="preserve">Les prévisions et la planification sont documentées comme contexte/interface tant que leur place dans le scope n’a pas été arbitrée. La découverte d’une application ne force ni son intégration complète dans la carte opérationnelle, ni son remplacement. </w:t>
      </w:r>
      <w:r>
        <w:rPr>
          <w:b w:val="0"/>
          <w:i w:val="0"/>
        </w:rPr>
        <w:t>[</w:t>
      </w:r>
      <w:r>
        <w:rPr>
          <w:b w:val="0"/>
          <w:i w:val="0"/>
        </w:rPr>
        <w:t>U01 ; U07 ; U09 ; C21]</w:t>
      </w:r>
    </w:p>
    <w:p>
      <w:pPr>
        <w:spacing w:before="60"/>
      </w:pPr>
      <w:r>
        <w:rPr>
          <w:b w:val="0"/>
          <w:i/>
          <w:color w:val="5C6872"/>
          <w:sz w:val="18"/>
        </w:rPr>
        <w:t>Sources et statut : U10 intégral ; F086–F102 ; FL15–FL19 ; C15–C23 ; Q027–Q039. Les trois réponses métier sont conservées sans ajouter une logique ARun à GBM.</w:t>
      </w:r>
    </w:p>
    <w:p>
      <w:pPr>
        <w:pStyle w:val="Heading1"/>
        <w:keepNext/>
        <w:spacing w:before="360"/>
      </w:pPr>
      <w:r>
        <w:rPr>
          <w:b w:val="0"/>
          <w:i w:val="0"/>
        </w:rPr>
        <w:t>10 — C-Log : contrat logistique et autonomie du SI</w:t>
      </w:r>
    </w:p>
    <w:p>
      <w:pPr/>
      <w:r>
        <w:rPr>
          <w:b w:val="0"/>
          <w:i w:val="0"/>
        </w:rPr>
        <w:t xml:space="preserve">C-Log est une filiale logistique centralisée, avec SI autonome et DSI dédié. </w:t>
      </w:r>
      <w:r>
        <w:rPr>
          <w:b/>
          <w:i w:val="0"/>
        </w:rPr>
        <w:t>Le futur ERP commercial n’a pas vocation à gérer toute la logistique ni à absorber ce SI.</w:t>
      </w:r>
      <w:r>
        <w:rPr>
          <w:b w:val="0"/>
          <w:i w:val="0"/>
        </w:rPr>
        <w:t xml:space="preserve"> La cartographie décrit les responsabilités à son interface pour pouvoir conserver, préciser ou redéfinir leur délégation. </w:t>
      </w:r>
      <w:r>
        <w:rPr>
          <w:b w:val="0"/>
          <w:i w:val="0"/>
        </w:rPr>
        <w:t>[</w:t>
      </w:r>
      <w:r>
        <w:rPr>
          <w:b w:val="0"/>
          <w:i w:val="0"/>
        </w:rPr>
        <w:t>U03 ; U07]</w:t>
      </w:r>
    </w:p>
    <w:p>
      <w:pPr/>
      <w:r>
        <w:rPr>
          <w:b w:val="0"/>
          <w:i w:val="0"/>
        </w:rPr>
        <w:t xml:space="preserve">Le nom de référence est </w:t>
      </w:r>
      <w:r>
        <w:rPr>
          <w:b/>
          <w:i w:val="0"/>
        </w:rPr>
        <w:t>Crossroad, éditeur KBRW</w:t>
      </w:r>
      <w:r>
        <w:rPr>
          <w:b w:val="0"/>
          <w:i w:val="0"/>
        </w:rPr>
        <w:t xml:space="preserve">. Cette correction explicite clôt l’ambiguïté « développé par Crossroad ». Une page publique KBRW corrobore sa contribution à l’OMS C-Log ; le nom Crossroad repose sur la précision utilisateur. </w:t>
      </w:r>
      <w:r>
        <w:rPr>
          <w:b w:val="0"/>
          <w:i w:val="0"/>
        </w:rPr>
        <w:t>[</w:t>
      </w:r>
      <w:r>
        <w:rPr>
          <w:b w:val="0"/>
          <w:i w:val="0"/>
        </w:rPr>
        <w:t>U07 ; R26]</w:t>
      </w:r>
    </w:p>
    <w:p>
      <w:pPr>
        <w:pStyle w:val="Heading2"/>
        <w:keepNext/>
      </w:pPr>
      <w:r>
        <w:rPr>
          <w:b w:val="0"/>
          <w:i w:val="0"/>
        </w:rPr>
        <w:t>Demande transmise en EDI</w:t>
      </w:r>
    </w:p>
    <w:tbl>
      <w:tblPr>
        <w:tblStyle w:val="TableGrid"/>
        <w:tblW w:type="auto" w:w="0"/>
        <w:jc w:val="center"/>
        <w:tblLayout w:type="fixed"/>
        <w:tblLook w:firstColumn="1" w:firstRow="1" w:lastColumn="0" w:lastRow="0" w:noHBand="0" w:noVBand="1" w:val="04A0"/>
        <w:tblBorders>
          <w:top w:val="single" w:sz="4" w:color="D8E2E7"/>
          <w:left w:val="single" w:sz="4" w:color="D8E2E7"/>
          <w:bottom w:val="single" w:sz="4" w:color="D8E2E7"/>
          <w:right w:val="single" w:sz="4" w:color="D8E2E7"/>
          <w:insideH w:val="single" w:sz="4" w:color="D8E2E7"/>
          <w:insideV w:val="single" w:sz="4" w:color="D8E2E7"/>
        </w:tblBorders>
      </w:tblPr>
      <w:tblGrid>
        <w:gridCol w:w="2665"/>
        <w:gridCol w:w="7143"/>
      </w:tblGrid>
      <w:tr>
        <w:trPr>
          <w:cantSplit/>
          <w:tblHeader w:val="true"/>
        </w:trPr>
        <w:tc>
          <w:tcPr>
            <w:tcW w:type="dxa" w:w="2665"/>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Contenu du fichier</w:t>
            </w:r>
          </w:p>
        </w:tc>
        <w:tc>
          <w:tcPr>
            <w:tcW w:type="dxa" w:w="7143"/>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Exemples et interprétation</w:t>
            </w:r>
          </w:p>
        </w:tc>
      </w:tr>
      <w:tr>
        <w:trPr>
          <w:cantSplit/>
        </w:trPr>
        <w:tc>
          <w:tcPr>
            <w:tcW w:type="dxa" w:w="2665"/>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Origine</w:t>
            </w:r>
          </w:p>
        </w:tc>
        <w:tc>
          <w:tcPr>
            <w:tcW w:type="dxa" w:w="7143"/>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eCommerce, réassort magasin, extension de gamme, etc.</w:t>
            </w:r>
          </w:p>
        </w:tc>
      </w:tr>
      <w:tr>
        <w:trPr>
          <w:cantSplit/>
        </w:trPr>
        <w:tc>
          <w:tcPr>
            <w:tcW w:type="dxa" w:w="2665"/>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Articles</w:t>
            </w:r>
          </w:p>
        </w:tc>
        <w:tc>
          <w:tcPr>
            <w:tcW w:type="dxa" w:w="7143"/>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Articles à livrer ; quantité et format détaillé non exposés dans le fil.</w:t>
            </w:r>
          </w:p>
        </w:tc>
      </w:tr>
      <w:tr>
        <w:trPr>
          <w:cantSplit/>
        </w:trPr>
        <w:tc>
          <w:tcPr>
            <w:tcW w:type="dxa" w:w="2665"/>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Client / destinataire à livrer</w:t>
            </w:r>
          </w:p>
        </w:tc>
        <w:tc>
          <w:tcPr>
            <w:tcW w:type="dxa" w:w="7143"/>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B2C ou B2B selon le vocabulaire décrit ; un magasin réapprovisionné doit rester distingué d’un client commercial dans le modèle.</w:t>
            </w:r>
          </w:p>
        </w:tc>
      </w:tr>
      <w:tr>
        <w:trPr>
          <w:cantSplit/>
        </w:trPr>
        <w:tc>
          <w:tcPr>
            <w:tcW w:type="dxa" w:w="2665"/>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Prestations attendues</w:t>
            </w:r>
          </w:p>
        </w:tc>
        <w:tc>
          <w:tcPr>
            <w:tcW w:type="dxa" w:w="7143"/>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Picking ; light-touch, dont mise sur cintre ou étiquette spéciale ; packing ; shipping.</w:t>
            </w:r>
          </w:p>
        </w:tc>
      </w:tr>
    </w:tbl>
    <w:p>
      <w:pPr/>
      <w:r>
        <w:rPr>
          <w:b w:val="0"/>
          <w:i w:val="0"/>
        </w:rPr>
        <w:t xml:space="preserve">« Demande d’exécution logistique » est le nom conceptuel proposé pour le besoin représenté par ce fichier : acheminer des articles vers un destinataire avec des opérations et contraintes. Ce n’est ni un nom d’objet technique attesté, ni une commande de vente ou d’achat rebaptisée. Le fichier EDI est une représentation d’interface, pas la capacité métier. </w:t>
      </w:r>
      <w:r>
        <w:rPr>
          <w:b w:val="0"/>
          <w:i w:val="0"/>
        </w:rPr>
        <w:t>[</w:t>
      </w:r>
      <w:r>
        <w:rPr>
          <w:b w:val="0"/>
          <w:i w:val="0"/>
        </w:rPr>
        <w:t>P38]</w:t>
      </w:r>
    </w:p>
    <w:p>
      <w:pPr/>
      <w:r>
        <w:rPr>
          <w:b w:val="0"/>
          <w:i w:val="0"/>
        </w:rPr>
        <w:t xml:space="preserve">Le champ origine mélange des lectures : eCommerce est un canal ; réassort exprime une finalité de flux ; extension de gamme exprime un usage commercial. La proposition est de conserver les codes existants et de permettre ces lectures distinctes dans l’urbanisme. Aucun changement du format EDI n’est décidé. </w:t>
      </w:r>
      <w:r>
        <w:rPr>
          <w:b w:val="0"/>
          <w:i w:val="0"/>
        </w:rPr>
        <w:t>[</w:t>
      </w:r>
      <w:r>
        <w:rPr>
          <w:b w:val="0"/>
          <w:i w:val="0"/>
        </w:rPr>
        <w:t>P39–P40]</w:t>
      </w:r>
    </w:p>
    <w:p>
      <w:pPr>
        <w:pStyle w:val="Heading2"/>
        <w:keepNext/>
      </w:pPr>
      <w:r>
        <w:rPr>
          <w:b w:val="0"/>
          <w:i w:val="0"/>
        </w:rPr>
        <w:t>Choix et adaptation du parcours</w:t>
      </w:r>
    </w:p>
    <w:p>
      <w:pPr/>
      <w:r>
        <w:rPr>
          <w:b w:val="0"/>
          <w:i w:val="0"/>
        </w:rPr>
        <w:t xml:space="preserve">Crossroad choisit l’entrepôt en tenant compte des opérations qu’il peut réaliser ; tous les entrepôts n’ont pas les mêmes aptitudes. Il choisit aussi le transporteur pour le shipping. Si aucune solution directe ne convient, un transfert d’un entrepôt source vers un entrepôt capable est ajouté en amont. L’OMS suit le processus logistique. En cas de problème, la demande passe en file d’erreur puis est traitée manuellement. </w:t>
      </w:r>
      <w:r>
        <w:rPr>
          <w:b w:val="0"/>
          <w:i w:val="0"/>
        </w:rPr>
        <w:t>[</w:t>
      </w:r>
      <w:r>
        <w:rPr>
          <w:b w:val="0"/>
          <w:i w:val="0"/>
        </w:rPr>
        <w:t>U06]</w:t>
      </w:r>
    </w:p>
    <w:p>
      <w:pPr/>
      <w:r>
        <w:rPr>
          <w:b w:val="0"/>
          <w:i w:val="0"/>
        </w:rPr>
        <w:t xml:space="preserve">Cela conduit à distinguer le besoin demandé, le parcours retenu et le suivi de sa réalisation. Cette distinction ne signifie pas que Crossroad stocke exactement trois objets portant ces noms. La condition détaillée de transfert, la création des ordres et la répartition avec WMS/TMS sont inconnues. Il n’est pas déduit un moteur de composition arbitraire de toutes les opérations. </w:t>
      </w:r>
      <w:r>
        <w:rPr>
          <w:b w:val="0"/>
          <w:i w:val="0"/>
        </w:rPr>
        <w:t>[</w:t>
      </w:r>
      <w:r>
        <w:rPr>
          <w:b w:val="0"/>
          <w:i w:val="0"/>
        </w:rPr>
        <w:t>P41–P44]</w:t>
      </w:r>
    </w:p>
    <w:p>
      <w:pPr/>
      <w:r>
        <w:rPr>
          <w:b w:val="0"/>
          <w:i w:val="0"/>
        </w:rPr>
        <w:t xml:space="preserve">L’aptitude d’un entrepôt à effectuer une opération n’est pas la même notion que sa capacité disponible à un instant donné. Le récit prouve l’usage d’une qualification des aptitudes, pas la tenue d’un référentiel séparé nommé ni son autorité logicielle. Le parallèle avec participation et quotas des magasins reste un rapprochement métier à éprouver. </w:t>
      </w:r>
      <w:r>
        <w:rPr>
          <w:b w:val="0"/>
          <w:i w:val="0"/>
        </w:rPr>
        <w:t>[</w:t>
      </w:r>
      <w:r>
        <w:rPr>
          <w:b w:val="0"/>
          <w:i w:val="0"/>
        </w:rPr>
        <w:t>P42]</w:t>
      </w:r>
    </w:p>
    <w:p>
      <w:pPr>
        <w:pStyle w:val="Heading2"/>
        <w:keepNext/>
      </w:pPr>
      <w:r>
        <w:rPr>
          <w:b w:val="0"/>
          <w:i w:val="0"/>
        </w:rPr>
        <w:t>Question cible, sans absorption</w:t>
      </w:r>
    </w:p>
    <w:p>
      <w:pPr/>
      <w:r>
        <w:rPr>
          <w:b w:val="0"/>
          <w:i w:val="0"/>
        </w:rPr>
        <w:t>La question est : quelles contraintes et quels engagements le commerce transmet-il, quels choix C-Log reste-t-il libre de prendre, et quels résultats ou impossibilités doit-il restituer ? Conserver la délégation actuelle, la préciser ou modifier certaines frontières sont des options ; aucune centralisation de tous les choix dans l’ERP n’est présupposée.</w:t>
      </w:r>
    </w:p>
    <w:p>
      <w:pPr/>
      <w:r>
        <w:rPr>
          <w:b w:val="0"/>
          <w:i w:val="0"/>
        </w:rPr>
        <w:t xml:space="preserve">La plateforme de processus du commerce peut suivre l’objectif « approvisionner un magasin » sans conduire elle-même chaque transfert, étiquetage ou sélection de transport. Une capacité logistique peut conserver ses décisions et sa coordination internes. Les deux plateformes cibles sont des responsabilités logiques, pas l’obligation d’un moteur de processus unique. </w:t>
      </w:r>
      <w:r>
        <w:rPr>
          <w:b w:val="0"/>
          <w:i w:val="0"/>
        </w:rPr>
        <w:t>[</w:t>
      </w:r>
      <w:r>
        <w:rPr>
          <w:b w:val="0"/>
          <w:i w:val="0"/>
        </w:rPr>
        <w:t>P22 ; P49]</w:t>
      </w:r>
    </w:p>
    <w:p>
      <w:pPr>
        <w:spacing w:before="60"/>
      </w:pPr>
      <w:r>
        <w:rPr>
          <w:b w:val="0"/>
          <w:i/>
          <w:color w:val="5C6872"/>
          <w:sz w:val="18"/>
        </w:rPr>
        <w:t>Sources et statut : U04, U06, U07 ; F050–F051, F072–F085 ; FL05, FL12–FL14 ; Q040–Q044. Exécution logistique : frontière, pas domaine détaillé à absorber.</w:t>
      </w:r>
    </w:p>
    <w:p>
      <w:pPr>
        <w:pStyle w:val="Heading1"/>
        <w:keepNext/>
        <w:spacing w:before="360"/>
      </w:pPr>
      <w:r>
        <w:rPr>
          <w:b w:val="0"/>
          <w:i w:val="0"/>
        </w:rPr>
        <w:t>11 — Autorité sur l’information : état des connaissances</w:t>
      </w:r>
    </w:p>
    <w:p>
      <w:pPr/>
      <w:r>
        <w:rPr>
          <w:b w:val="0"/>
          <w:i w:val="0"/>
        </w:rPr>
        <w:t xml:space="preserve">La question de Laurent n’est pas seulement « où la donnée est-elle présente ? », mais </w:t>
      </w:r>
      <w:r>
        <w:rPr>
          <w:b/>
          <w:i w:val="0"/>
        </w:rPr>
        <w:t>sur quelle information précise, dans quel contexte, quelle organisation et quelle réalisation peuvent-elles faire autorité ?</w:t>
      </w:r>
      <w:r>
        <w:rPr>
          <w:b w:val="0"/>
          <w:i w:val="0"/>
        </w:rPr>
        <w:t xml:space="preserve"> La matrice conserve volontairement des réponses inconnues. Elle n’installe pas une source de vérité unique du stock par défaut. </w:t>
      </w:r>
      <w:r>
        <w:rPr>
          <w:b w:val="0"/>
          <w:i w:val="0"/>
        </w:rPr>
        <w:t>[</w:t>
      </w:r>
      <w:r>
        <w:rPr>
          <w:b w:val="0"/>
          <w:i w:val="0"/>
        </w:rPr>
        <w:t>U07 ; U09]</w:t>
      </w:r>
    </w:p>
    <w:p>
      <w:pPr/>
      <w:r>
        <w:rPr>
          <w:b w:val="0"/>
          <w:i w:val="0"/>
        </w:rPr>
        <w:t>Il faut notamment distinguer un fait physique, une représentation recopiée, un résultat de calcul, une politique applicable et un engagement. Ces distinctions servent les fiches des capacités ; elles ne deviennent pas deux domaines L1 « données » et « décisions ».</w:t>
      </w:r>
    </w:p>
    <w:tbl>
      <w:tblPr>
        <w:tblStyle w:val="TableGrid"/>
        <w:tblW w:type="auto" w:w="0"/>
        <w:jc w:val="center"/>
        <w:tblLayout w:type="fixed"/>
        <w:tblLook w:firstColumn="1" w:firstRow="1" w:lastColumn="0" w:lastRow="0" w:noHBand="0" w:noVBand="1" w:val="04A0"/>
        <w:tblBorders>
          <w:top w:val="single" w:sz="4" w:color="D8E2E7"/>
          <w:left w:val="single" w:sz="4" w:color="D8E2E7"/>
          <w:bottom w:val="single" w:sz="4" w:color="D8E2E7"/>
          <w:right w:val="single" w:sz="4" w:color="D8E2E7"/>
          <w:insideH w:val="single" w:sz="4" w:color="D8E2E7"/>
          <w:insideV w:val="single" w:sz="4" w:color="D8E2E7"/>
        </w:tblBorders>
      </w:tblPr>
      <w:tblGrid>
        <w:gridCol w:w="2608"/>
        <w:gridCol w:w="2608"/>
        <w:gridCol w:w="4592"/>
      </w:tblGrid>
      <w:tr>
        <w:trPr>
          <w:cantSplit/>
          <w:tblHeader w:val="true"/>
        </w:trPr>
        <w:tc>
          <w:tcPr>
            <w:tcW w:type="dxa" w:w="2608"/>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Objet / information</w:t>
            </w:r>
          </w:p>
        </w:tc>
        <w:tc>
          <w:tcPr>
            <w:tcW w:type="dxa" w:w="2608"/>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Autorité ou producteur déclaré</w:t>
            </w:r>
          </w:p>
        </w:tc>
        <w:tc>
          <w:tcPr>
            <w:tcW w:type="dxa" w:w="4592"/>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Contributions et limites</w:t>
            </w:r>
          </w:p>
        </w:tc>
      </w:tr>
      <w:tr>
        <w:trPr>
          <w:cantSplit/>
        </w:trPr>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INF01 — Stock magasin</w:t>
            </w:r>
          </w:p>
        </w:tc>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Storeland par marque</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 xml:space="preserve">UR reçoit une copie batch. Autorité de tenue déclarée ; états détaillés inconnus </w:t>
            </w:r>
            <w:r>
              <w:rPr>
                <w:rFonts w:ascii="Noto Sans" w:hAnsi="Noto Sans"/>
                <w:b w:val="0"/>
                <w:i w:val="0"/>
                <w:color w:val="173247"/>
                <w:sz w:val="18"/>
              </w:rPr>
              <w:t>[</w:t>
            </w:r>
            <w:r>
              <w:rPr>
                <w:rFonts w:ascii="Noto Sans" w:hAnsi="Noto Sans"/>
                <w:b w:val="0"/>
                <w:i w:val="0"/>
                <w:color w:val="173247"/>
                <w:sz w:val="18"/>
              </w:rPr>
              <w:t>U03;U04]</w:t>
            </w:r>
          </w:p>
        </w:tc>
      </w:tr>
      <w:tr>
        <w:trPr>
          <w:cantSplit/>
        </w:trPr>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INF02 — Stock entrepôt physique/logique</w:t>
            </w:r>
          </w:p>
        </w:tc>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Non établi</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 xml:space="preserve">UR contient une représentation ; SI C-Log réalise la logistique. Présence ≠ autorité </w:t>
            </w:r>
            <w:r>
              <w:rPr>
                <w:rFonts w:ascii="Noto Sans" w:hAnsi="Noto Sans"/>
                <w:b w:val="0"/>
                <w:i w:val="0"/>
                <w:color w:val="173247"/>
                <w:sz w:val="18"/>
              </w:rPr>
              <w:t>[</w:t>
            </w:r>
            <w:r>
              <w:rPr>
                <w:rFonts w:ascii="Noto Sans" w:hAnsi="Noto Sans"/>
                <w:b w:val="0"/>
                <w:i w:val="0"/>
                <w:color w:val="173247"/>
                <w:sz w:val="18"/>
              </w:rPr>
              <w:t>U04;U06]</w:t>
            </w:r>
          </w:p>
        </w:tc>
      </w:tr>
      <w:tr>
        <w:trPr>
          <w:cantSplit/>
        </w:trPr>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INF03 — Disponibilité proposée à la vente</w:t>
            </w:r>
          </w:p>
        </w:tc>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Non établi</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 xml:space="preserve">Recherche entrepôt puis magasin décrite. Calcul/règle/engagement à séparer </w:t>
            </w:r>
            <w:r>
              <w:rPr>
                <w:rFonts w:ascii="Noto Sans" w:hAnsi="Noto Sans"/>
                <w:b w:val="0"/>
                <w:i w:val="0"/>
                <w:color w:val="173247"/>
                <w:sz w:val="18"/>
              </w:rPr>
              <w:t>[</w:t>
            </w:r>
            <w:r>
              <w:rPr>
                <w:rFonts w:ascii="Noto Sans" w:hAnsi="Noto Sans"/>
                <w:b w:val="0"/>
                <w:i w:val="0"/>
                <w:color w:val="173247"/>
                <w:sz w:val="18"/>
              </w:rPr>
              <w:t>U04;U10]</w:t>
            </w:r>
          </w:p>
        </w:tc>
      </w:tr>
      <w:tr>
        <w:trPr>
          <w:cantSplit/>
        </w:trPr>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INF04 — Stocks optimaux et seuils réassort</w:t>
            </w:r>
          </w:p>
        </w:tc>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IRMA déclaré référence des seuils</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 xml:space="preserve">Storeland applique le déclenchement. Transition SCORTEX à dater par périmètre </w:t>
            </w:r>
            <w:r>
              <w:rPr>
                <w:rFonts w:ascii="Noto Sans" w:hAnsi="Noto Sans"/>
                <w:b w:val="0"/>
                <w:i w:val="0"/>
                <w:color w:val="173247"/>
                <w:sz w:val="18"/>
              </w:rPr>
              <w:t>[</w:t>
            </w:r>
            <w:r>
              <w:rPr>
                <w:rFonts w:ascii="Noto Sans" w:hAnsi="Noto Sans"/>
                <w:b w:val="0"/>
                <w:i w:val="0"/>
                <w:color w:val="173247"/>
                <w:sz w:val="18"/>
              </w:rPr>
              <w:t>U06]</w:t>
            </w:r>
          </w:p>
        </w:tc>
      </w:tr>
      <w:tr>
        <w:trPr>
          <w:cantSplit/>
        </w:trPr>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INF05 — Protections marque/canal</w:t>
            </w:r>
          </w:p>
        </w:tc>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MAP calcule</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 xml:space="preserve">Système(s) opérant(s) consommateur(s) non nommés. Autorité applicable et versions inconnues </w:t>
            </w:r>
            <w:r>
              <w:rPr>
                <w:rFonts w:ascii="Noto Sans" w:hAnsi="Noto Sans"/>
                <w:b w:val="0"/>
                <w:i w:val="0"/>
                <w:color w:val="173247"/>
                <w:sz w:val="18"/>
              </w:rPr>
              <w:t>[</w:t>
            </w:r>
            <w:r>
              <w:rPr>
                <w:rFonts w:ascii="Noto Sans" w:hAnsi="Noto Sans"/>
                <w:b w:val="0"/>
                <w:i w:val="0"/>
                <w:color w:val="173247"/>
                <w:sz w:val="18"/>
              </w:rPr>
              <w:t>U10]</w:t>
            </w:r>
          </w:p>
        </w:tc>
      </w:tr>
      <w:tr>
        <w:trPr>
          <w:cantSplit/>
        </w:trPr>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INF06 — Prévisions de vente</w:t>
            </w:r>
          </w:p>
        </w:tc>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MAP produit</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 xml:space="preserve">Consommateurs et versions non détaillés. Pas de maître opérationnel inventé </w:t>
            </w:r>
            <w:r>
              <w:rPr>
                <w:rFonts w:ascii="Noto Sans" w:hAnsi="Noto Sans"/>
                <w:b w:val="0"/>
                <w:i w:val="0"/>
                <w:color w:val="173247"/>
                <w:sz w:val="18"/>
              </w:rPr>
              <w:t>[</w:t>
            </w:r>
            <w:r>
              <w:rPr>
                <w:rFonts w:ascii="Noto Sans" w:hAnsi="Noto Sans"/>
                <w:b w:val="0"/>
                <w:i w:val="0"/>
                <w:color w:val="173247"/>
                <w:sz w:val="18"/>
              </w:rPr>
              <w:t>U10]</w:t>
            </w:r>
          </w:p>
        </w:tc>
      </w:tr>
      <w:tr>
        <w:trPr>
          <w:cantSplit/>
        </w:trPr>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INF07 — Anticipations de stockage</w:t>
            </w:r>
          </w:p>
        </w:tc>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MAP produit</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 xml:space="preserve">C-Log reçoit. Résultat décisionnel accepté/ajusté non documenté </w:t>
            </w:r>
            <w:r>
              <w:rPr>
                <w:rFonts w:ascii="Noto Sans" w:hAnsi="Noto Sans"/>
                <w:b w:val="0"/>
                <w:i w:val="0"/>
                <w:color w:val="173247"/>
                <w:sz w:val="18"/>
              </w:rPr>
              <w:t>[</w:t>
            </w:r>
            <w:r>
              <w:rPr>
                <w:rFonts w:ascii="Noto Sans" w:hAnsi="Noto Sans"/>
                <w:b w:val="0"/>
                <w:i w:val="0"/>
                <w:color w:val="173247"/>
                <w:sz w:val="18"/>
              </w:rPr>
              <w:t>U10]</w:t>
            </w:r>
          </w:p>
        </w:tc>
      </w:tr>
      <w:tr>
        <w:trPr>
          <w:cantSplit/>
        </w:trPr>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INF08 — Quotas et charge magasin</w:t>
            </w:r>
          </w:p>
        </w:tc>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Non établi</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 xml:space="preserve">Chaîne SFS utilise la contrainte. Auteur, compteur et persistance inconnus </w:t>
            </w:r>
            <w:r>
              <w:rPr>
                <w:rFonts w:ascii="Noto Sans" w:hAnsi="Noto Sans"/>
                <w:b w:val="0"/>
                <w:i w:val="0"/>
                <w:color w:val="173247"/>
                <w:sz w:val="18"/>
              </w:rPr>
              <w:t>[</w:t>
            </w:r>
            <w:r>
              <w:rPr>
                <w:rFonts w:ascii="Noto Sans" w:hAnsi="Noto Sans"/>
                <w:b w:val="0"/>
                <w:i w:val="0"/>
                <w:color w:val="173247"/>
                <w:sz w:val="18"/>
              </w:rPr>
              <w:t>U04]</w:t>
            </w:r>
          </w:p>
        </w:tc>
      </w:tr>
      <w:tr>
        <w:trPr>
          <w:cantSplit/>
        </w:trPr>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INF09 — Aptitudes des entrepôts</w:t>
            </w:r>
          </w:p>
        </w:tc>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Non établi</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 xml:space="preserve">Crossroad utilise les opérations réalisables. Référentiel implicite, source inconnue </w:t>
            </w:r>
            <w:r>
              <w:rPr>
                <w:rFonts w:ascii="Noto Sans" w:hAnsi="Noto Sans"/>
                <w:b w:val="0"/>
                <w:i w:val="0"/>
                <w:color w:val="173247"/>
                <w:sz w:val="18"/>
              </w:rPr>
              <w:t>[</w:t>
            </w:r>
            <w:r>
              <w:rPr>
                <w:rFonts w:ascii="Noto Sans" w:hAnsi="Noto Sans"/>
                <w:b w:val="0"/>
                <w:i w:val="0"/>
                <w:color w:val="173247"/>
                <w:sz w:val="18"/>
              </w:rPr>
              <w:t>U06]</w:t>
            </w:r>
          </w:p>
        </w:tc>
      </w:tr>
      <w:tr>
        <w:trPr>
          <w:cantSplit/>
        </w:trPr>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INF10 — Commande client</w:t>
            </w:r>
          </w:p>
        </w:tc>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Non établi</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 xml:space="preserve">POS/sites/Elastic contribuent ; commande maintenue pendant reprises SFS. Ne pas déduire maître de la seule saisie </w:t>
            </w:r>
            <w:r>
              <w:rPr>
                <w:rFonts w:ascii="Noto Sans" w:hAnsi="Noto Sans"/>
                <w:b w:val="0"/>
                <w:i w:val="0"/>
                <w:color w:val="173247"/>
                <w:sz w:val="18"/>
              </w:rPr>
              <w:t>[</w:t>
            </w:r>
            <w:r>
              <w:rPr>
                <w:rFonts w:ascii="Noto Sans" w:hAnsi="Noto Sans"/>
                <w:b w:val="0"/>
                <w:i w:val="0"/>
                <w:color w:val="173247"/>
                <w:sz w:val="18"/>
              </w:rPr>
              <w:t>U03-U05]</w:t>
            </w:r>
          </w:p>
        </w:tc>
      </w:tr>
      <w:tr>
        <w:trPr>
          <w:cantSplit/>
        </w:trPr>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INF11 — Demande d’exécution magasin</w:t>
            </w:r>
          </w:p>
        </w:tc>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Non établi</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 xml:space="preserve">Chaîne SFS ; Socloz contribue. Cycle distinct de commande ; systèmes exacts inconnus </w:t>
            </w:r>
            <w:r>
              <w:rPr>
                <w:rFonts w:ascii="Noto Sans" w:hAnsi="Noto Sans"/>
                <w:b w:val="0"/>
                <w:i w:val="0"/>
                <w:color w:val="173247"/>
                <w:sz w:val="18"/>
              </w:rPr>
              <w:t>[</w:t>
            </w:r>
            <w:r>
              <w:rPr>
                <w:rFonts w:ascii="Noto Sans" w:hAnsi="Noto Sans"/>
                <w:b w:val="0"/>
                <w:i w:val="0"/>
                <w:color w:val="173247"/>
                <w:sz w:val="18"/>
              </w:rPr>
              <w:t>U03-U05]</w:t>
            </w:r>
          </w:p>
        </w:tc>
      </w:tr>
      <w:tr>
        <w:trPr>
          <w:cantSplit/>
        </w:trPr>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INF12 — Demande d’exécution logistique</w:t>
            </w:r>
          </w:p>
        </w:tc>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Émetteur non établi par parcours</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 xml:space="preserve">EDI commerce→C-Log. Origine du besoin et statut logistique peuvent relever de responsabilités différentes </w:t>
            </w:r>
            <w:r>
              <w:rPr>
                <w:rFonts w:ascii="Noto Sans" w:hAnsi="Noto Sans"/>
                <w:b w:val="0"/>
                <w:i w:val="0"/>
                <w:color w:val="173247"/>
                <w:sz w:val="18"/>
              </w:rPr>
              <w:t>[</w:t>
            </w:r>
            <w:r>
              <w:rPr>
                <w:rFonts w:ascii="Noto Sans" w:hAnsi="Noto Sans"/>
                <w:b w:val="0"/>
                <w:i w:val="0"/>
                <w:color w:val="173247"/>
                <w:sz w:val="18"/>
              </w:rPr>
              <w:t>U06]</w:t>
            </w:r>
          </w:p>
        </w:tc>
      </w:tr>
      <w:tr>
        <w:trPr>
          <w:cantSplit/>
        </w:trPr>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INF13 — Parcours et état logistique</w:t>
            </w:r>
          </w:p>
        </w:tc>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Crossroad suit le processus</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 xml:space="preserve">Équipes/outils de réalisation non inventoriés. Autorité du suivi décrit ; autorité de chaque fait physique non prouvée </w:t>
            </w:r>
            <w:r>
              <w:rPr>
                <w:rFonts w:ascii="Noto Sans" w:hAnsi="Noto Sans"/>
                <w:b w:val="0"/>
                <w:i w:val="0"/>
                <w:color w:val="173247"/>
                <w:sz w:val="18"/>
              </w:rPr>
              <w:t>[</w:t>
            </w:r>
            <w:r>
              <w:rPr>
                <w:rFonts w:ascii="Noto Sans" w:hAnsi="Noto Sans"/>
                <w:b w:val="0"/>
                <w:i w:val="0"/>
                <w:color w:val="173247"/>
                <w:sz w:val="18"/>
              </w:rPr>
              <w:t>U06;U07]</w:t>
            </w:r>
          </w:p>
        </w:tc>
      </w:tr>
      <w:tr>
        <w:trPr>
          <w:cantSplit/>
        </w:trPr>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INF14 — Demande d’achat fournisseur</w:t>
            </w:r>
          </w:p>
        </w:tc>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MAP réalise la demande</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 xml:space="preserve">CBS suit fabrication/livraison amont. Référentiel commande ferme non établi </w:t>
            </w:r>
            <w:r>
              <w:rPr>
                <w:rFonts w:ascii="Noto Sans" w:hAnsi="Noto Sans"/>
                <w:b w:val="0"/>
                <w:i w:val="0"/>
                <w:color w:val="173247"/>
                <w:sz w:val="18"/>
              </w:rPr>
              <w:t>[</w:t>
            </w:r>
            <w:r>
              <w:rPr>
                <w:rFonts w:ascii="Noto Sans" w:hAnsi="Noto Sans"/>
                <w:b w:val="0"/>
                <w:i w:val="0"/>
                <w:color w:val="173247"/>
                <w:sz w:val="18"/>
              </w:rPr>
              <w:t>U10]</w:t>
            </w:r>
          </w:p>
        </w:tc>
      </w:tr>
      <w:tr>
        <w:trPr>
          <w:cantSplit/>
        </w:trPr>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INF15 — Faits et pièces amont</w:t>
            </w:r>
          </w:p>
        </w:tc>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CBS suit</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 xml:space="preserve">Application achats initiale à rapprocher. Suivre ne signifie pas faire autorité sur toute pièce émise par fournisseur/douane </w:t>
            </w:r>
            <w:r>
              <w:rPr>
                <w:rFonts w:ascii="Noto Sans" w:hAnsi="Noto Sans"/>
                <w:b w:val="0"/>
                <w:i w:val="0"/>
                <w:color w:val="173247"/>
                <w:sz w:val="18"/>
              </w:rPr>
              <w:t>[</w:t>
            </w:r>
            <w:r>
              <w:rPr>
                <w:rFonts w:ascii="Noto Sans" w:hAnsi="Noto Sans"/>
                <w:b w:val="0"/>
                <w:i w:val="0"/>
                <w:color w:val="173247"/>
                <w:sz w:val="18"/>
              </w:rPr>
              <w:t>U03;U10]</w:t>
            </w:r>
          </w:p>
        </w:tc>
      </w:tr>
      <w:tr>
        <w:trPr>
          <w:cantSplit/>
        </w:trPr>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INF16 — Clients B2B</w:t>
            </w:r>
          </w:p>
        </w:tc>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Zoho assure CRM</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 xml:space="preserve">Elastic capte les commandes. Autorité par attribut/exclusion non établie </w:t>
            </w:r>
            <w:r>
              <w:rPr>
                <w:rFonts w:ascii="Noto Sans" w:hAnsi="Noto Sans"/>
                <w:b w:val="0"/>
                <w:i w:val="0"/>
                <w:color w:val="173247"/>
                <w:sz w:val="18"/>
              </w:rPr>
              <w:t>[</w:t>
            </w:r>
            <w:r>
              <w:rPr>
                <w:rFonts w:ascii="Noto Sans" w:hAnsi="Noto Sans"/>
                <w:b w:val="0"/>
                <w:i w:val="0"/>
                <w:color w:val="173247"/>
                <w:sz w:val="18"/>
              </w:rPr>
              <w:t>U03;U10]</w:t>
            </w:r>
          </w:p>
        </w:tc>
      </w:tr>
      <w:tr>
        <w:trPr>
          <w:cantSplit/>
        </w:trPr>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INF17 — Articles fournisseurs Sarenza</w:t>
            </w:r>
          </w:p>
        </w:tc>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Fournisseurs apportent catalogues</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 xml:space="preserve">Sarenza intègre les articles. Autorité locale et rapprochement non documentés </w:t>
            </w:r>
            <w:r>
              <w:rPr>
                <w:rFonts w:ascii="Noto Sans" w:hAnsi="Noto Sans"/>
                <w:b w:val="0"/>
                <w:i w:val="0"/>
                <w:color w:val="173247"/>
                <w:sz w:val="18"/>
              </w:rPr>
              <w:t>[</w:t>
            </w:r>
            <w:r>
              <w:rPr>
                <w:rFonts w:ascii="Noto Sans" w:hAnsi="Noto Sans"/>
                <w:b w:val="0"/>
                <w:i w:val="0"/>
                <w:color w:val="173247"/>
                <w:sz w:val="18"/>
              </w:rPr>
              <w:t>U02]</w:t>
            </w:r>
          </w:p>
        </w:tc>
      </w:tr>
    </w:tbl>
    <w:p>
      <w:pPr>
        <w:pStyle w:val="Heading2"/>
        <w:keepNext/>
      </w:pPr>
      <w:r>
        <w:rPr>
          <w:b w:val="0"/>
          <w:i w:val="0"/>
        </w:rPr>
        <w:t>Lecture de l’exemple stock</w:t>
      </w:r>
    </w:p>
    <w:p>
      <w:pPr/>
      <w:r>
        <w:rPr>
          <w:b w:val="0"/>
          <w:i w:val="0"/>
        </w:rPr>
        <w:t>Storeland tient les stocks magasin par marque ; UR en reçoit des représentations et contient également le stock entrepôt décrit. Cela suffit à cartographier des présences et une responsabilité de tenue magasin, pas à attribuer l’autorité sur tous les états d’entrepôt à UR. C-Log organise l’exécution physique ; cela ne prouve pas non plus qu’un composant unique C-Log porte toutes les vérités logiques du commerce.</w:t>
      </w:r>
    </w:p>
    <w:p>
      <w:pPr/>
      <w:r>
        <w:rPr>
          <w:b w:val="0"/>
          <w:i w:val="0"/>
        </w:rPr>
        <w:t xml:space="preserve">Le modèle doit pouvoir distinguer « stock magasin enregistré », « disponibilité calculée pour un canal » et « quantité réservée ». Le contexte de marque, canal, lieu, population et période fait partie de la définition de l’autorité. Un batch caractérise la réalisation et la fraîcheur, pas le nom de la capacité. </w:t>
      </w:r>
      <w:r>
        <w:rPr>
          <w:b w:val="0"/>
          <w:i w:val="0"/>
        </w:rPr>
        <w:t>[</w:t>
      </w:r>
      <w:r>
        <w:rPr>
          <w:b w:val="0"/>
          <w:i w:val="0"/>
        </w:rPr>
        <w:t>P27 ; P29 ; P50]</w:t>
      </w:r>
    </w:p>
    <w:p>
      <w:pPr>
        <w:pStyle w:val="Heading2"/>
        <w:keepNext/>
      </w:pPr>
      <w:r>
        <w:rPr>
          <w:b w:val="0"/>
          <w:i w:val="0"/>
        </w:rPr>
        <w:t>Lecture de MAP et IRMA</w:t>
      </w:r>
    </w:p>
    <w:p>
      <w:pPr/>
      <w:r>
        <w:rPr>
          <w:b w:val="0"/>
          <w:i w:val="0"/>
        </w:rPr>
        <w:t>Le producteur d’un calcul n’est pas nécessairement le seul détenteur de sa version applicable. Pour IRMA, Laurent a explicitement déclaré l’autorité sur les seuils ; la transition par marque reste inconnue. Pour MAP, le calcul de protection et sa republication sont décrits, mais pas l’autorité opérationnelle, les consommateurs ni les versions qui contraignent les engagements.</w:t>
      </w:r>
    </w:p>
    <w:p>
      <w:pPr/>
      <w:r>
        <w:rPr>
          <w:b w:val="0"/>
          <w:i w:val="0"/>
        </w:rPr>
        <w:t>L’enjeu cible ne se résume donc pas à regrouper des données. Il est de rendre explicite quelle capacité tient une information, quelles décisions la consomment et comment un changement devient applicable. La répartition cible reste ouverte.</w:t>
      </w:r>
    </w:p>
    <w:p>
      <w:pPr>
        <w:spacing w:before="60"/>
      </w:pPr>
      <w:r>
        <w:rPr>
          <w:b w:val="0"/>
          <w:i/>
          <w:color w:val="5C6872"/>
          <w:sz w:val="18"/>
        </w:rPr>
        <w:t>Sources et statut : Registre INF01–INF17 ; U03–U07, U10 ; P27–P29, P47–P50. Les colonnes distinguent production, présence et autorité ; aucune attribution non documentée n’est présentée comme établie.</w:t>
      </w:r>
    </w:p>
    <w:p>
      <w:pPr>
        <w:pStyle w:val="Heading1"/>
        <w:keepNext/>
        <w:spacing w:before="360"/>
      </w:pPr>
      <w:r>
        <w:rPr>
          <w:b w:val="0"/>
          <w:i w:val="0"/>
        </w:rPr>
        <w:t>12 — Responsabilités de décision : état des connaissances</w:t>
      </w:r>
    </w:p>
    <w:p>
      <w:pPr/>
      <w:r>
        <w:rPr>
          <w:b w:val="0"/>
          <w:i w:val="0"/>
        </w:rPr>
        <w:t xml:space="preserve">La décision est distribuée selon le canal, la situation et le domaine : réassort par seuil, politique de protection, ordre d’arrivée des ventes, sélection/acceptation magasin, choix d’entrepôt et de transport. Le tableau distingue une règle métier déclarée, son exécutant connu et ce qui reste à attribuer. Un propriétaire métier de politique n’est pas inventé à partir d’un nom de logiciel. </w:t>
      </w:r>
      <w:r>
        <w:rPr>
          <w:b w:val="0"/>
          <w:i w:val="0"/>
        </w:rPr>
        <w:t>[</w:t>
      </w:r>
      <w:r>
        <w:rPr>
          <w:b w:val="0"/>
          <w:i w:val="0"/>
        </w:rPr>
        <w:t>U07 ; U10]</w:t>
      </w:r>
    </w:p>
    <w:tbl>
      <w:tblPr>
        <w:tblStyle w:val="TableGrid"/>
        <w:tblW w:type="auto" w:w="0"/>
        <w:jc w:val="center"/>
        <w:tblLayout w:type="fixed"/>
        <w:tblLook w:firstColumn="1" w:firstRow="1" w:lastColumn="0" w:lastRow="0" w:noHBand="0" w:noVBand="1" w:val="04A0"/>
        <w:tblBorders>
          <w:top w:val="single" w:sz="4" w:color="D8E2E7"/>
          <w:left w:val="single" w:sz="4" w:color="D8E2E7"/>
          <w:bottom w:val="single" w:sz="4" w:color="D8E2E7"/>
          <w:right w:val="single" w:sz="4" w:color="D8E2E7"/>
          <w:insideH w:val="single" w:sz="4" w:color="D8E2E7"/>
          <w:insideV w:val="single" w:sz="4" w:color="D8E2E7"/>
        </w:tblBorders>
      </w:tblPr>
      <w:tblGrid>
        <w:gridCol w:w="2608"/>
        <w:gridCol w:w="2608"/>
        <w:gridCol w:w="4592"/>
      </w:tblGrid>
      <w:tr>
        <w:trPr>
          <w:cantSplit/>
          <w:tblHeader w:val="true"/>
        </w:trPr>
        <w:tc>
          <w:tcPr>
            <w:tcW w:type="dxa" w:w="2608"/>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Décision / responsabilité</w:t>
            </w:r>
          </w:p>
        </w:tc>
        <w:tc>
          <w:tcPr>
            <w:tcW w:type="dxa" w:w="2608"/>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Réalisation ou règle décrite</w:t>
            </w:r>
          </w:p>
        </w:tc>
        <w:tc>
          <w:tcPr>
            <w:tcW w:type="dxa" w:w="4592"/>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Contexte et réserve</w:t>
            </w:r>
          </w:p>
        </w:tc>
      </w:tr>
      <w:tr>
        <w:trPr>
          <w:cantSplit/>
        </w:trPr>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DEC01 — Définir des protections marque/canal</w:t>
            </w:r>
          </w:p>
        </w:tc>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MAP</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 xml:space="preserve">Planification/allocation. Calcul décrit ; politique et autorisation métier non identifiées </w:t>
            </w:r>
            <w:r>
              <w:rPr>
                <w:rFonts w:ascii="Noto Sans" w:hAnsi="Noto Sans"/>
                <w:b w:val="0"/>
                <w:i w:val="0"/>
                <w:color w:val="173247"/>
                <w:sz w:val="18"/>
              </w:rPr>
              <w:t>[</w:t>
            </w:r>
            <w:r>
              <w:rPr>
                <w:rFonts w:ascii="Noto Sans" w:hAnsi="Noto Sans"/>
                <w:b w:val="0"/>
                <w:i w:val="0"/>
                <w:color w:val="173247"/>
                <w:sz w:val="18"/>
              </w:rPr>
              <w:t>U10]</w:t>
            </w:r>
          </w:p>
        </w:tc>
      </w:tr>
      <w:tr>
        <w:trPr>
          <w:cantSplit/>
        </w:trPr>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DEC02 — Calculer les seuils de réassort</w:t>
            </w:r>
          </w:p>
        </w:tc>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IRMA</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 xml:space="preserve">Réassort magasin. Source de référence déclarée ; coexistence SCORTEX </w:t>
            </w:r>
            <w:r>
              <w:rPr>
                <w:rFonts w:ascii="Noto Sans" w:hAnsi="Noto Sans"/>
                <w:b w:val="0"/>
                <w:i w:val="0"/>
                <w:color w:val="173247"/>
                <w:sz w:val="18"/>
              </w:rPr>
              <w:t>[</w:t>
            </w:r>
            <w:r>
              <w:rPr>
                <w:rFonts w:ascii="Noto Sans" w:hAnsi="Noto Sans"/>
                <w:b w:val="0"/>
                <w:i w:val="0"/>
                <w:color w:val="173247"/>
                <w:sz w:val="18"/>
              </w:rPr>
              <w:t>U06]</w:t>
            </w:r>
          </w:p>
        </w:tc>
      </w:tr>
      <w:tr>
        <w:trPr>
          <w:cantSplit/>
        </w:trPr>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DEC03 — Déclencher une demande de réassort</w:t>
            </w:r>
          </w:p>
        </w:tc>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Storeland</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 xml:space="preserve">Réassort magasin. Seuil atteint ; quantité à déterminer </w:t>
            </w:r>
            <w:r>
              <w:rPr>
                <w:rFonts w:ascii="Noto Sans" w:hAnsi="Noto Sans"/>
                <w:b w:val="0"/>
                <w:i w:val="0"/>
                <w:color w:val="173247"/>
                <w:sz w:val="18"/>
              </w:rPr>
              <w:t>[</w:t>
            </w:r>
            <w:r>
              <w:rPr>
                <w:rFonts w:ascii="Noto Sans" w:hAnsi="Noto Sans"/>
                <w:b w:val="0"/>
                <w:i w:val="0"/>
                <w:color w:val="173247"/>
                <w:sz w:val="18"/>
              </w:rPr>
              <w:t>U06]</w:t>
            </w:r>
          </w:p>
        </w:tc>
      </w:tr>
      <w:tr>
        <w:trPr>
          <w:cantSplit/>
        </w:trPr>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DEC04 — Recalculer après aléa amont</w:t>
            </w:r>
          </w:p>
        </w:tc>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MAP</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 xml:space="preserve">Planification/opération. Annule et remplace des données ; aucun effet sur commandes supposé </w:t>
            </w:r>
            <w:r>
              <w:rPr>
                <w:rFonts w:ascii="Noto Sans" w:hAnsi="Noto Sans"/>
                <w:b w:val="0"/>
                <w:i w:val="0"/>
                <w:color w:val="173247"/>
                <w:sz w:val="18"/>
              </w:rPr>
              <w:t>[</w:t>
            </w:r>
            <w:r>
              <w:rPr>
                <w:rFonts w:ascii="Noto Sans" w:hAnsi="Noto Sans"/>
                <w:b w:val="0"/>
                <w:i w:val="0"/>
                <w:color w:val="173247"/>
                <w:sz w:val="18"/>
              </w:rPr>
              <w:t>U10]</w:t>
            </w:r>
          </w:p>
        </w:tc>
      </w:tr>
      <w:tr>
        <w:trPr>
          <w:cantSplit/>
        </w:trPr>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DEC05 — Produire la demande fournisseur</w:t>
            </w:r>
          </w:p>
        </w:tc>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MAP</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 xml:space="preserve">Achats. Demande distincte d’une commande ferme à qualifier </w:t>
            </w:r>
            <w:r>
              <w:rPr>
                <w:rFonts w:ascii="Noto Sans" w:hAnsi="Noto Sans"/>
                <w:b w:val="0"/>
                <w:i w:val="0"/>
                <w:color w:val="173247"/>
                <w:sz w:val="18"/>
              </w:rPr>
              <w:t>[</w:t>
            </w:r>
            <w:r>
              <w:rPr>
                <w:rFonts w:ascii="Noto Sans" w:hAnsi="Noto Sans"/>
                <w:b w:val="0"/>
                <w:i w:val="0"/>
                <w:color w:val="173247"/>
                <w:sz w:val="18"/>
              </w:rPr>
              <w:t>U10]</w:t>
            </w:r>
          </w:p>
        </w:tc>
      </w:tr>
      <w:tr>
        <w:trPr>
          <w:cantSplit/>
        </w:trPr>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DEC06 — Autoriser une vente sans stock</w:t>
            </w:r>
          </w:p>
        </w:tc>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Politique GBM : non</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 xml:space="preserve">Ventes GBM. Contrôle technique et stock de référence non établis </w:t>
            </w:r>
            <w:r>
              <w:rPr>
                <w:rFonts w:ascii="Noto Sans" w:hAnsi="Noto Sans"/>
                <w:b w:val="0"/>
                <w:i w:val="0"/>
                <w:color w:val="173247"/>
                <w:sz w:val="18"/>
              </w:rPr>
              <w:t>[</w:t>
            </w:r>
            <w:r>
              <w:rPr>
                <w:rFonts w:ascii="Noto Sans" w:hAnsi="Noto Sans"/>
                <w:b w:val="0"/>
                <w:i w:val="0"/>
                <w:color w:val="173247"/>
                <w:sz w:val="18"/>
              </w:rPr>
              <w:t>U10]</w:t>
            </w:r>
          </w:p>
        </w:tc>
      </w:tr>
      <w:tr>
        <w:trPr>
          <w:cantSplit/>
        </w:trPr>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DEC07 — Prioriser entre demandes de vente</w:t>
            </w:r>
          </w:p>
        </w:tc>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Politique GBM : ordre d’arrivée</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 xml:space="preserve">Ventes GBM. File et périmètre de protection non définis </w:t>
            </w:r>
            <w:r>
              <w:rPr>
                <w:rFonts w:ascii="Noto Sans" w:hAnsi="Noto Sans"/>
                <w:b w:val="0"/>
                <w:i w:val="0"/>
                <w:color w:val="173247"/>
                <w:sz w:val="18"/>
              </w:rPr>
              <w:t>[</w:t>
            </w:r>
            <w:r>
              <w:rPr>
                <w:rFonts w:ascii="Noto Sans" w:hAnsi="Noto Sans"/>
                <w:b w:val="0"/>
                <w:i w:val="0"/>
                <w:color w:val="173247"/>
                <w:sz w:val="18"/>
              </w:rPr>
              <w:t>U10]</w:t>
            </w:r>
          </w:p>
        </w:tc>
      </w:tr>
      <w:tr>
        <w:trPr>
          <w:cantSplit/>
        </w:trPr>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DEC08 — Reprioriser pour un client Gold</w:t>
            </w:r>
          </w:p>
        </w:tc>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Non exercé dans le fonctionnement GBM décrit</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 xml:space="preserve">Ventes GBM. Ne pas inventer fonction équivalente à ARun </w:t>
            </w:r>
            <w:r>
              <w:rPr>
                <w:rFonts w:ascii="Noto Sans" w:hAnsi="Noto Sans"/>
                <w:b w:val="0"/>
                <w:i w:val="0"/>
                <w:color w:val="173247"/>
                <w:sz w:val="18"/>
              </w:rPr>
              <w:t>[</w:t>
            </w:r>
            <w:r>
              <w:rPr>
                <w:rFonts w:ascii="Noto Sans" w:hAnsi="Noto Sans"/>
                <w:b w:val="0"/>
                <w:i w:val="0"/>
                <w:color w:val="173247"/>
                <w:sz w:val="18"/>
              </w:rPr>
              <w:t>U10]</w:t>
            </w:r>
          </w:p>
        </w:tc>
      </w:tr>
      <w:tr>
        <w:trPr>
          <w:cantSplit/>
        </w:trPr>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DEC09 — Exclure définitivement un mauvais payeur</w:t>
            </w:r>
          </w:p>
        </w:tc>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Acteur/application non établis</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 xml:space="preserve">B2B / frontière. Avant exclusion, traitement identique ; procédure externe non décrite </w:t>
            </w:r>
            <w:r>
              <w:rPr>
                <w:rFonts w:ascii="Noto Sans" w:hAnsi="Noto Sans"/>
                <w:b w:val="0"/>
                <w:i w:val="0"/>
                <w:color w:val="173247"/>
                <w:sz w:val="18"/>
              </w:rPr>
              <w:t>[</w:t>
            </w:r>
            <w:r>
              <w:rPr>
                <w:rFonts w:ascii="Noto Sans" w:hAnsi="Noto Sans"/>
                <w:b w:val="0"/>
                <w:i w:val="0"/>
                <w:color w:val="173247"/>
                <w:sz w:val="18"/>
              </w:rPr>
              <w:t>U10]</w:t>
            </w:r>
          </w:p>
        </w:tc>
      </w:tr>
      <w:tr>
        <w:trPr>
          <w:cantSplit/>
        </w:trPr>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DEC10 — Rechercher d’abord une solution entrepôt</w:t>
            </w:r>
          </w:p>
        </w:tc>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Chaîne commerce non localisée précisément</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 xml:space="preserve">eCommerce. Le stock est présent dans UR ; calculateur exact inconnu </w:t>
            </w:r>
            <w:r>
              <w:rPr>
                <w:rFonts w:ascii="Noto Sans" w:hAnsi="Noto Sans"/>
                <w:b w:val="0"/>
                <w:i w:val="0"/>
                <w:color w:val="173247"/>
                <w:sz w:val="18"/>
              </w:rPr>
              <w:t>[</w:t>
            </w:r>
            <w:r>
              <w:rPr>
                <w:rFonts w:ascii="Noto Sans" w:hAnsi="Noto Sans"/>
                <w:b w:val="0"/>
                <w:i w:val="0"/>
                <w:color w:val="173247"/>
                <w:sz w:val="18"/>
              </w:rPr>
              <w:t>U04]</w:t>
            </w:r>
          </w:p>
        </w:tc>
      </w:tr>
      <w:tr>
        <w:trPr>
          <w:cantSplit/>
        </w:trPr>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DEC11 — Déterminer les magasins éligibles</w:t>
            </w:r>
          </w:p>
        </w:tc>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Chaîne SFS non localisée précisément</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 xml:space="preserve">eCommerce/SFS. Stock + participation + quota </w:t>
            </w:r>
            <w:r>
              <w:rPr>
                <w:rFonts w:ascii="Noto Sans" w:hAnsi="Noto Sans"/>
                <w:b w:val="0"/>
                <w:i w:val="0"/>
                <w:color w:val="173247"/>
                <w:sz w:val="18"/>
              </w:rPr>
              <w:t>[</w:t>
            </w:r>
            <w:r>
              <w:rPr>
                <w:rFonts w:ascii="Noto Sans" w:hAnsi="Noto Sans"/>
                <w:b w:val="0"/>
                <w:i w:val="0"/>
                <w:color w:val="173247"/>
                <w:sz w:val="18"/>
              </w:rPr>
              <w:t>U04]</w:t>
            </w:r>
          </w:p>
        </w:tc>
      </w:tr>
      <w:tr>
        <w:trPr>
          <w:cantSplit/>
        </w:trPr>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DEC12 — Classer les magasins</w:t>
            </w:r>
          </w:p>
        </w:tc>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Chaîne SFS non localisée précisément</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 xml:space="preserve">eCommerce/SFS. Moins sollicité ; métrique inconnue </w:t>
            </w:r>
            <w:r>
              <w:rPr>
                <w:rFonts w:ascii="Noto Sans" w:hAnsi="Noto Sans"/>
                <w:b w:val="0"/>
                <w:i w:val="0"/>
                <w:color w:val="173247"/>
                <w:sz w:val="18"/>
              </w:rPr>
              <w:t>[</w:t>
            </w:r>
            <w:r>
              <w:rPr>
                <w:rFonts w:ascii="Noto Sans" w:hAnsi="Noto Sans"/>
                <w:b w:val="0"/>
                <w:i w:val="0"/>
                <w:color w:val="173247"/>
                <w:sz w:val="18"/>
              </w:rPr>
              <w:t>U04]</w:t>
            </w:r>
          </w:p>
        </w:tc>
      </w:tr>
      <w:tr>
        <w:trPr>
          <w:cantSplit/>
        </w:trPr>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DEC13 — Accepter la préparation/expédition</w:t>
            </w:r>
          </w:p>
        </w:tc>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Magasin sollicité</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 xml:space="preserve">SFS. Rôle humain et application exacts non fournis </w:t>
            </w:r>
            <w:r>
              <w:rPr>
                <w:rFonts w:ascii="Noto Sans" w:hAnsi="Noto Sans"/>
                <w:b w:val="0"/>
                <w:i w:val="0"/>
                <w:color w:val="173247"/>
                <w:sz w:val="18"/>
              </w:rPr>
              <w:t>[</w:t>
            </w:r>
            <w:r>
              <w:rPr>
                <w:rFonts w:ascii="Noto Sans" w:hAnsi="Noto Sans"/>
                <w:b w:val="0"/>
                <w:i w:val="0"/>
                <w:color w:val="173247"/>
                <w:sz w:val="18"/>
              </w:rPr>
              <w:t>U04]</w:t>
            </w:r>
          </w:p>
        </w:tc>
      </w:tr>
      <w:tr>
        <w:trPr>
          <w:cantSplit/>
        </w:trPr>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DEC14 — Annuler tentative et solliciter suivant</w:t>
            </w:r>
          </w:p>
        </w:tc>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Chaîne SFS</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 xml:space="preserve">SFS. Refus ou 15 minutes ; aucune annulation vente </w:t>
            </w:r>
            <w:r>
              <w:rPr>
                <w:rFonts w:ascii="Noto Sans" w:hAnsi="Noto Sans"/>
                <w:b w:val="0"/>
                <w:i w:val="0"/>
                <w:color w:val="173247"/>
                <w:sz w:val="18"/>
              </w:rPr>
              <w:t>[</w:t>
            </w:r>
            <w:r>
              <w:rPr>
                <w:rFonts w:ascii="Noto Sans" w:hAnsi="Noto Sans"/>
                <w:b w:val="0"/>
                <w:i w:val="0"/>
                <w:color w:val="173247"/>
                <w:sz w:val="18"/>
              </w:rPr>
              <w:t>U04;U05]</w:t>
            </w:r>
          </w:p>
        </w:tc>
      </w:tr>
      <w:tr>
        <w:trPr>
          <w:cantSplit/>
        </w:trPr>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DEC15 — Débloquer la situation par intervention</w:t>
            </w:r>
          </w:p>
        </w:tc>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Responsable commercial marque</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 xml:space="preserve">SFS exception. Appelle magasins ; pouvoirs non détaillés </w:t>
            </w:r>
            <w:r>
              <w:rPr>
                <w:rFonts w:ascii="Noto Sans" w:hAnsi="Noto Sans"/>
                <w:b w:val="0"/>
                <w:i w:val="0"/>
                <w:color w:val="173247"/>
                <w:sz w:val="18"/>
              </w:rPr>
              <w:t>[</w:t>
            </w:r>
            <w:r>
              <w:rPr>
                <w:rFonts w:ascii="Noto Sans" w:hAnsi="Noto Sans"/>
                <w:b w:val="0"/>
                <w:i w:val="0"/>
                <w:color w:val="173247"/>
                <w:sz w:val="18"/>
              </w:rPr>
              <w:t>U04]</w:t>
            </w:r>
          </w:p>
        </w:tc>
      </w:tr>
      <w:tr>
        <w:trPr>
          <w:cantSplit/>
        </w:trPr>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DEC16 — Choisir l’entrepôt</w:t>
            </w:r>
          </w:p>
        </w:tc>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OMS C-Log / Crossroad</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 xml:space="preserve">Logistique externalisée au cœur. Aptitudes opérationnelles ; autres critères non fournis </w:t>
            </w:r>
            <w:r>
              <w:rPr>
                <w:rFonts w:ascii="Noto Sans" w:hAnsi="Noto Sans"/>
                <w:b w:val="0"/>
                <w:i w:val="0"/>
                <w:color w:val="173247"/>
                <w:sz w:val="18"/>
              </w:rPr>
              <w:t>[</w:t>
            </w:r>
            <w:r>
              <w:rPr>
                <w:rFonts w:ascii="Noto Sans" w:hAnsi="Noto Sans"/>
                <w:b w:val="0"/>
                <w:i w:val="0"/>
                <w:color w:val="173247"/>
                <w:sz w:val="18"/>
              </w:rPr>
              <w:t>U04;U06;U07]</w:t>
            </w:r>
          </w:p>
        </w:tc>
      </w:tr>
      <w:tr>
        <w:trPr>
          <w:cantSplit/>
        </w:trPr>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DEC17 — Ajouter un transfert préalable</w:t>
            </w:r>
          </w:p>
        </w:tc>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OMS C-Log / Crossroad dans le récit</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 xml:space="preserve">Logistique. Condition exacte et émission des ordres non détaillées </w:t>
            </w:r>
            <w:r>
              <w:rPr>
                <w:rFonts w:ascii="Noto Sans" w:hAnsi="Noto Sans"/>
                <w:b w:val="0"/>
                <w:i w:val="0"/>
                <w:color w:val="173247"/>
                <w:sz w:val="18"/>
              </w:rPr>
              <w:t>[</w:t>
            </w:r>
            <w:r>
              <w:rPr>
                <w:rFonts w:ascii="Noto Sans" w:hAnsi="Noto Sans"/>
                <w:b w:val="0"/>
                <w:i w:val="0"/>
                <w:color w:val="173247"/>
                <w:sz w:val="18"/>
              </w:rPr>
              <w:t>U06;U07]</w:t>
            </w:r>
          </w:p>
        </w:tc>
      </w:tr>
      <w:tr>
        <w:trPr>
          <w:cantSplit/>
        </w:trPr>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DEC18 — Choisir le transporteur</w:t>
            </w:r>
          </w:p>
        </w:tc>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OMS C-Log / Crossroad</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 xml:space="preserve">Shipping. Règles, offres et coût non décrits </w:t>
            </w:r>
            <w:r>
              <w:rPr>
                <w:rFonts w:ascii="Noto Sans" w:hAnsi="Noto Sans"/>
                <w:b w:val="0"/>
                <w:i w:val="0"/>
                <w:color w:val="173247"/>
                <w:sz w:val="18"/>
              </w:rPr>
              <w:t>[</w:t>
            </w:r>
            <w:r>
              <w:rPr>
                <w:rFonts w:ascii="Noto Sans" w:hAnsi="Noto Sans"/>
                <w:b w:val="0"/>
                <w:i w:val="0"/>
                <w:color w:val="173247"/>
                <w:sz w:val="18"/>
              </w:rPr>
              <w:t>U04;U06]</w:t>
            </w:r>
          </w:p>
        </w:tc>
      </w:tr>
      <w:tr>
        <w:trPr>
          <w:cantSplit/>
        </w:trPr>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DEC19 — Reprendre une demande en erreur</w:t>
            </w:r>
          </w:p>
        </w:tc>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Intervenant C-Log non identifié</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 xml:space="preserve">Logistique exception. File d’erreur ; reprise manuelle </w:t>
            </w:r>
            <w:r>
              <w:rPr>
                <w:rFonts w:ascii="Noto Sans" w:hAnsi="Noto Sans"/>
                <w:b w:val="0"/>
                <w:i w:val="0"/>
                <w:color w:val="173247"/>
                <w:sz w:val="18"/>
              </w:rPr>
              <w:t>[</w:t>
            </w:r>
            <w:r>
              <w:rPr>
                <w:rFonts w:ascii="Noto Sans" w:hAnsi="Noto Sans"/>
                <w:b w:val="0"/>
                <w:i w:val="0"/>
                <w:color w:val="173247"/>
                <w:sz w:val="18"/>
              </w:rPr>
              <w:t>U06]</w:t>
            </w:r>
          </w:p>
        </w:tc>
      </w:tr>
      <w:tr>
        <w:trPr>
          <w:cantSplit/>
        </w:trPr>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DEC20 — Réserver/libérer stock ou quota</w:t>
            </w:r>
          </w:p>
        </w:tc>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Non établi</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 xml:space="preserve">Transverse. À distinguer du choix et de l’acceptation </w:t>
            </w:r>
            <w:r>
              <w:rPr>
                <w:rFonts w:ascii="Noto Sans" w:hAnsi="Noto Sans"/>
                <w:b w:val="0"/>
                <w:i w:val="0"/>
                <w:color w:val="173247"/>
                <w:sz w:val="18"/>
              </w:rPr>
              <w:t>[</w:t>
            </w:r>
            <w:r>
              <w:rPr>
                <w:rFonts w:ascii="Noto Sans" w:hAnsi="Noto Sans"/>
                <w:b w:val="0"/>
                <w:i w:val="0"/>
                <w:color w:val="173247"/>
                <w:sz w:val="18"/>
              </w:rPr>
              <w:t>P32;P34;Q017;Q018]</w:t>
            </w:r>
          </w:p>
        </w:tc>
      </w:tr>
    </w:tbl>
    <w:p>
      <w:pPr>
        <w:pStyle w:val="Heading2"/>
        <w:keepNext/>
      </w:pPr>
      <w:r>
        <w:rPr>
          <w:b w:val="0"/>
          <w:i w:val="0"/>
        </w:rPr>
        <w:t>Ne pas confondre quatre responsabilités</w:t>
      </w:r>
    </w:p>
    <w:p>
      <w:pPr/>
      <w:r>
        <w:rPr>
          <w:b/>
          <w:i w:val="0"/>
        </w:rPr>
        <w:t>Définir une politique</w:t>
      </w:r>
      <w:r>
        <w:rPr>
          <w:b w:val="0"/>
          <w:i w:val="0"/>
        </w:rPr>
        <w:t xml:space="preserve"> fixe ce qui est autorisé ou prioritaire. </w:t>
      </w:r>
      <w:r>
        <w:rPr>
          <w:b/>
          <w:i w:val="0"/>
        </w:rPr>
        <w:t>Calculer</w:t>
      </w:r>
      <w:r>
        <w:rPr>
          <w:b w:val="0"/>
          <w:i w:val="0"/>
        </w:rPr>
        <w:t xml:space="preserve"> produit une évaluation ou une proposition. </w:t>
      </w:r>
      <w:r>
        <w:rPr>
          <w:b/>
          <w:i w:val="0"/>
        </w:rPr>
        <w:t>Décider dans une situation</w:t>
      </w:r>
      <w:r>
        <w:rPr>
          <w:b w:val="0"/>
          <w:i w:val="0"/>
        </w:rPr>
        <w:t xml:space="preserve"> retient une option. </w:t>
      </w:r>
      <w:r>
        <w:rPr>
          <w:b/>
          <w:i w:val="0"/>
        </w:rPr>
        <w:t>Engager</w:t>
      </w:r>
      <w:r>
        <w:rPr>
          <w:b w:val="0"/>
          <w:i w:val="0"/>
        </w:rPr>
        <w:t xml:space="preserve"> rend ce choix opposable aux opérations suivantes, par exemple en réservant. Un même composant peut contribuer aux quatre ; leur distinction aide à expliquer les frontières. Le fil ne prouve pas encore leurs attributions partout.</w:t>
      </w:r>
    </w:p>
    <w:p>
      <w:pPr/>
      <w:r>
        <w:rPr>
          <w:b w:val="0"/>
          <w:i w:val="0"/>
        </w:rPr>
        <w:t xml:space="preserve">L’exemple du quota magasin le montre : son origine est organisationnelle, mais le contrôle de consommation peut devoir être commun à plusieurs demandes concurrentes. Mettre toutes les règles dans chaque parcours risquerait de dupliquer les compteurs et engagements. Il s’agit d’un critère d’architecture proposé, pas du relevé d’un défaut technique constaté. </w:t>
      </w:r>
      <w:r>
        <w:rPr>
          <w:b w:val="0"/>
          <w:i w:val="0"/>
        </w:rPr>
        <w:t>[</w:t>
      </w:r>
      <w:r>
        <w:rPr>
          <w:b w:val="0"/>
          <w:i w:val="0"/>
        </w:rPr>
        <w:t>P21 ; P34 ; P50]</w:t>
      </w:r>
    </w:p>
    <w:p>
      <w:pPr>
        <w:pStyle w:val="Heading2"/>
        <w:keepNext/>
      </w:pPr>
      <w:r>
        <w:rPr>
          <w:b w:val="0"/>
          <w:i w:val="0"/>
        </w:rPr>
        <w:t>Trois coordinations à ne pas fusionner dans les mots</w:t>
      </w:r>
    </w:p>
    <w:p>
      <w:pPr/>
      <w:r>
        <w:rPr>
          <w:b w:val="0"/>
          <w:i w:val="0"/>
        </w:rPr>
        <w:t>L’orchestration des échanges techniques (notamment Talend), la coordination d’une exécution commerciale/logistique et le pilotage d’une Situation longue portent des responsabilités différentes. Un outil historique peut les mélanger. La carte doit permettre de l’exprimer au lieu d’exclure par principe des règles métier de Talend ou de considérer tout OMS comme le même rôle.</w:t>
      </w:r>
    </w:p>
    <w:p>
      <w:pPr/>
      <w:r>
        <w:rPr>
          <w:b w:val="0"/>
          <w:i w:val="0"/>
        </w:rPr>
        <w:t xml:space="preserve">L’ordre d’arrivée GBM est une politique ; il ne signifie pas absence de décision. En revanche, la reprise d’engagements au bénéfice d’un client Gold est explicitement exclue du fonctionnement raconté. La comparaison future avec BRD doit préserver cette différence plutôt que forcer un vocabulaire commun d’« allocation » sans définitions. </w:t>
      </w:r>
      <w:r>
        <w:rPr>
          <w:b w:val="0"/>
          <w:i w:val="0"/>
        </w:rPr>
        <w:t>[</w:t>
      </w:r>
      <w:r>
        <w:rPr>
          <w:b w:val="0"/>
          <w:i w:val="0"/>
        </w:rPr>
        <w:t>P28 ; P54–P55]</w:t>
      </w:r>
    </w:p>
    <w:p>
      <w:pPr>
        <w:spacing w:before="60"/>
      </w:pPr>
      <w:r>
        <w:rPr>
          <w:b w:val="0"/>
          <w:i/>
          <w:color w:val="5C6872"/>
          <w:sz w:val="18"/>
        </w:rPr>
        <w:t>Sources et statut : DEC01–DEC20 ; F047–F063, F065–F067, F077–F082, F090–F102. Décomposition analytique proposée ; responsabilités logiciel/humain inconnues conservées comme telles.</w:t>
      </w:r>
    </w:p>
    <w:p>
      <w:pPr>
        <w:pStyle w:val="Heading1"/>
        <w:keepNext/>
        <w:spacing w:before="360"/>
      </w:pPr>
      <w:r>
        <w:rPr>
          <w:b w:val="0"/>
          <w:i w:val="0"/>
        </w:rPr>
        <w:t>13 — Métamodèle de travail, vocabulaire et deux plateformes</w:t>
      </w:r>
    </w:p>
    <w:p>
      <w:pPr>
        <w:pStyle w:val="Heading2"/>
        <w:keepNext/>
      </w:pPr>
      <w:r>
        <w:rPr>
          <w:b w:val="0"/>
          <w:i w:val="0"/>
        </w:rPr>
        <w:t>Une structure métier, des dimensions de responsabilité</w:t>
      </w:r>
    </w:p>
    <w:p>
      <w:pPr/>
      <w:r>
        <w:rPr>
          <w:b w:val="0"/>
          <w:i w:val="0"/>
        </w:rPr>
        <w:t>La hiérarchie candidate est Domaine / Capacité / Sous-capacité, sur deux ou trois niveaux. Son sens et sa profondeur restent à choisir. Aux niveaux supérieurs, une finalité métier lisible doit primer : gérer les stocks, approvisionner les magasins, prendre en charge une vente ou un SAV. À un niveau plus détaillé, « gérer » peut être insuffisant pour comprendre qui tient une information, arrête un choix ou crée un engagement.</w:t>
      </w:r>
    </w:p>
    <w:p>
      <w:pPr/>
      <w:r>
        <w:rPr>
          <w:b w:val="0"/>
          <w:i w:val="0"/>
        </w:rPr>
        <w:t xml:space="preserve">La proposition est de préciser les responsabilités dans la fiche de capacité et de les utiliser dans la décomposition seulement lorsqu’elles produisent des résultats distincts utiles à l’urbanisme. Il n’y a pas de scission systématique de toutes les capacités en « information » et « décision ». </w:t>
      </w:r>
      <w:r>
        <w:rPr>
          <w:b w:val="0"/>
          <w:i w:val="0"/>
        </w:rPr>
        <w:t>[</w:t>
      </w:r>
      <w:r>
        <w:rPr>
          <w:b w:val="0"/>
          <w:i w:val="0"/>
        </w:rPr>
        <w:t>U09 ; P45–P48]</w:t>
      </w:r>
    </w:p>
    <w:tbl>
      <w:tblPr>
        <w:tblStyle w:val="TableGrid"/>
        <w:tblW w:type="auto" w:w="0"/>
        <w:jc w:val="center"/>
        <w:tblLayout w:type="fixed"/>
        <w:tblLook w:firstColumn="1" w:firstRow="1" w:lastColumn="0" w:lastRow="0" w:noHBand="0" w:noVBand="1" w:val="04A0"/>
        <w:tblBorders>
          <w:top w:val="single" w:sz="4" w:color="D8E2E7"/>
          <w:left w:val="single" w:sz="4" w:color="D8E2E7"/>
          <w:bottom w:val="single" w:sz="4" w:color="D8E2E7"/>
          <w:right w:val="single" w:sz="4" w:color="D8E2E7"/>
          <w:insideH w:val="single" w:sz="4" w:color="D8E2E7"/>
          <w:insideV w:val="single" w:sz="4" w:color="D8E2E7"/>
        </w:tblBorders>
      </w:tblPr>
      <w:tblGrid>
        <w:gridCol w:w="2268"/>
        <w:gridCol w:w="2948"/>
        <w:gridCol w:w="4592"/>
      </w:tblGrid>
      <w:tr>
        <w:trPr>
          <w:cantSplit/>
          <w:tblHeader w:val="true"/>
        </w:trPr>
        <w:tc>
          <w:tcPr>
            <w:tcW w:type="dxa" w:w="2268"/>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Famille proposée</w:t>
            </w:r>
          </w:p>
        </w:tc>
        <w:tc>
          <w:tcPr>
            <w:tcW w:type="dxa" w:w="2948"/>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Verbes candidats</w:t>
            </w:r>
          </w:p>
        </w:tc>
        <w:tc>
          <w:tcPr>
            <w:tcW w:type="dxa" w:w="4592"/>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Sens à préciser</w:t>
            </w:r>
          </w:p>
        </w:tc>
      </w:tr>
      <w:tr>
        <w:trPr>
          <w:cantSplit/>
        </w:trPr>
        <w:tc>
          <w:tcPr>
            <w:tcW w:type="dxa" w:w="226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Information de référence</w:t>
            </w:r>
          </w:p>
        </w:tc>
        <w:tc>
          <w:tcPr>
            <w:tcW w:type="dxa" w:w="294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Tenir, maintenir</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Porter l’état de référence sur un objet, des états et un périmètre définis.</w:t>
            </w:r>
          </w:p>
        </w:tc>
      </w:tr>
      <w:tr>
        <w:trPr>
          <w:cantSplit/>
        </w:trPr>
        <w:tc>
          <w:tcPr>
            <w:tcW w:type="dxa" w:w="226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Évaluation</w:t>
            </w:r>
          </w:p>
        </w:tc>
        <w:tc>
          <w:tcPr>
            <w:tcW w:type="dxa" w:w="294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Calculer, évaluer, estimer</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Produire un résultat sans présumer autorisation ni engagement.</w:t>
            </w:r>
          </w:p>
        </w:tc>
      </w:tr>
      <w:tr>
        <w:trPr>
          <w:cantSplit/>
        </w:trPr>
        <w:tc>
          <w:tcPr>
            <w:tcW w:type="dxa" w:w="226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Politique et choix</w:t>
            </w:r>
          </w:p>
        </w:tc>
        <w:tc>
          <w:tcPr>
            <w:tcW w:type="dxa" w:w="294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Définir, arbitrer, sélectionner, autoriser</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Fixer une règle ou retenir une option dans un contexte.</w:t>
            </w:r>
          </w:p>
        </w:tc>
      </w:tr>
      <w:tr>
        <w:trPr>
          <w:cantSplit/>
        </w:trPr>
        <w:tc>
          <w:tcPr>
            <w:tcW w:type="dxa" w:w="226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Engagement</w:t>
            </w:r>
          </w:p>
        </w:tc>
        <w:tc>
          <w:tcPr>
            <w:tcW w:type="dxa" w:w="294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Réserver, affecter, confirmer, engager</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Créer, modifier ou libérer une obligation ou consommation de ressource.</w:t>
            </w:r>
          </w:p>
        </w:tc>
      </w:tr>
      <w:tr>
        <w:trPr>
          <w:cantSplit/>
        </w:trPr>
        <w:tc>
          <w:tcPr>
            <w:tcW w:type="dxa" w:w="226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Conduite du traitement</w:t>
            </w:r>
          </w:p>
        </w:tc>
        <w:tc>
          <w:tcPr>
            <w:tcW w:type="dxa" w:w="294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Piloter, coordonner, résoudre</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Faire progresser une demande/situation et gérer ses exceptions.</w:t>
            </w:r>
          </w:p>
        </w:tc>
      </w:tr>
      <w:tr>
        <w:trPr>
          <w:cantSplit/>
        </w:trPr>
        <w:tc>
          <w:tcPr>
            <w:tcW w:type="dxa" w:w="226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Opération réalisée</w:t>
            </w:r>
          </w:p>
        </w:tc>
        <w:tc>
          <w:tcPr>
            <w:tcW w:type="dxa" w:w="294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Réceptionner, préparer, expédier, etc.</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Accomplir une opération et produire son résultat.</w:t>
            </w:r>
          </w:p>
        </w:tc>
      </w:tr>
    </w:tbl>
    <w:p>
      <w:pPr/>
      <w:r>
        <w:rPr>
          <w:b w:val="0"/>
          <w:i w:val="0"/>
        </w:rPr>
        <w:t xml:space="preserve">Ce dictionnaire est une </w:t>
      </w:r>
      <w:r>
        <w:rPr>
          <w:b/>
          <w:i w:val="0"/>
        </w:rPr>
        <w:t>proposition locale</w:t>
      </w:r>
      <w:r>
        <w:rPr>
          <w:b w:val="0"/>
          <w:i w:val="0"/>
        </w:rPr>
        <w:t xml:space="preserve">, pas une nomenclature standard déjà adoptée. Un verbe n’est pas suffisant : « tenir le stock » exige de préciser les états, lieux, marques et responsabilités concernés. « Calculer une disponibilité », « autoriser une promesse » et « réserver une quantité » ne doivent pas être utilisés comme synonymes. </w:t>
      </w:r>
      <w:r>
        <w:rPr>
          <w:b w:val="0"/>
          <w:i w:val="0"/>
        </w:rPr>
        <w:t>[</w:t>
      </w:r>
      <w:r>
        <w:rPr>
          <w:b w:val="0"/>
          <w:i w:val="0"/>
        </w:rPr>
        <w:t>P45 ; P50]</w:t>
      </w:r>
    </w:p>
    <w:p>
      <w:pPr>
        <w:pStyle w:val="Heading2"/>
        <w:keepNext/>
      </w:pPr>
      <w:r>
        <w:rPr>
          <w:b w:val="0"/>
          <w:i w:val="0"/>
        </w:rPr>
        <w:t>Fiche minimale proposée</w:t>
      </w:r>
    </w:p>
    <w:tbl>
      <w:tblPr>
        <w:tblStyle w:val="TableGrid"/>
        <w:tblW w:type="auto" w:w="0"/>
        <w:jc w:val="center"/>
        <w:tblLayout w:type="fixed"/>
        <w:tblLook w:firstColumn="1" w:firstRow="1" w:lastColumn="0" w:lastRow="0" w:noHBand="0" w:noVBand="1" w:val="04A0"/>
        <w:tblBorders>
          <w:top w:val="single" w:sz="4" w:color="D8E2E7"/>
          <w:left w:val="single" w:sz="4" w:color="D8E2E7"/>
          <w:bottom w:val="single" w:sz="4" w:color="D8E2E7"/>
          <w:right w:val="single" w:sz="4" w:color="D8E2E7"/>
          <w:insideH w:val="single" w:sz="4" w:color="D8E2E7"/>
          <w:insideV w:val="single" w:sz="4" w:color="D8E2E7"/>
        </w:tblBorders>
      </w:tblPr>
      <w:tblGrid>
        <w:gridCol w:w="2665"/>
        <w:gridCol w:w="7143"/>
      </w:tblGrid>
      <w:tr>
        <w:trPr>
          <w:cantSplit/>
          <w:tblHeader w:val="true"/>
        </w:trPr>
        <w:tc>
          <w:tcPr>
            <w:tcW w:type="dxa" w:w="2665"/>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Dimension</w:t>
            </w:r>
          </w:p>
        </w:tc>
        <w:tc>
          <w:tcPr>
            <w:tcW w:type="dxa" w:w="7143"/>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Contenu à conserver</w:t>
            </w:r>
          </w:p>
        </w:tc>
      </w:tr>
      <w:tr>
        <w:trPr>
          <w:cantSplit/>
        </w:trPr>
        <w:tc>
          <w:tcPr>
            <w:tcW w:type="dxa" w:w="2665"/>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Identité et hiérarchie</w:t>
            </w:r>
          </w:p>
        </w:tc>
        <w:tc>
          <w:tcPr>
            <w:tcW w:type="dxa" w:w="7143"/>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Identifiant stable, intitulé, parent, statut et définition.</w:t>
            </w:r>
          </w:p>
        </w:tc>
      </w:tr>
      <w:tr>
        <w:trPr>
          <w:cantSplit/>
        </w:trPr>
        <w:tc>
          <w:tcPr>
            <w:tcW w:type="dxa" w:w="2665"/>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Finalité</w:t>
            </w:r>
          </w:p>
        </w:tc>
        <w:tc>
          <w:tcPr>
            <w:tcW w:type="dxa" w:w="7143"/>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Résultat métier, périmètre d’exercice, inclusions et exclusions.</w:t>
            </w:r>
          </w:p>
        </w:tc>
      </w:tr>
      <w:tr>
        <w:trPr>
          <w:cantSplit/>
        </w:trPr>
        <w:tc>
          <w:tcPr>
            <w:tcW w:type="dxa" w:w="2665"/>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Information</w:t>
            </w:r>
          </w:p>
        </w:tc>
        <w:tc>
          <w:tcPr>
            <w:tcW w:type="dxa" w:w="7143"/>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Objets/états/paramètres faisant autorité, données consommées, copies et provenance.</w:t>
            </w:r>
          </w:p>
        </w:tc>
      </w:tr>
      <w:tr>
        <w:trPr>
          <w:cantSplit/>
        </w:trPr>
        <w:tc>
          <w:tcPr>
            <w:tcW w:type="dxa" w:w="2665"/>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Décisions et engagements</w:t>
            </w:r>
          </w:p>
        </w:tc>
        <w:tc>
          <w:tcPr>
            <w:tcW w:type="dxa" w:w="7143"/>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Choix autorisés, politiques, engagements créés/révisés/libérés et limites de délégation.</w:t>
            </w:r>
          </w:p>
        </w:tc>
      </w:tr>
      <w:tr>
        <w:trPr>
          <w:cantSplit/>
        </w:trPr>
        <w:tc>
          <w:tcPr>
            <w:tcW w:type="dxa" w:w="2665"/>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Variantes</w:t>
            </w:r>
          </w:p>
        </w:tc>
        <w:tc>
          <w:tcPr>
            <w:tcW w:type="dxa" w:w="7143"/>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Marque, canal, modèle commercial, type de demande, site, période et situation.</w:t>
            </w:r>
          </w:p>
        </w:tc>
      </w:tr>
      <w:tr>
        <w:trPr>
          <w:cantSplit/>
        </w:trPr>
        <w:tc>
          <w:tcPr>
            <w:tcW w:type="dxa" w:w="2665"/>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Réalisation</w:t>
            </w:r>
          </w:p>
        </w:tc>
        <w:tc>
          <w:tcPr>
            <w:tcW w:type="dxa" w:w="7143"/>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Organisation responsable, contributeurs humains/partenaires, applications et instances ; nature de contribution.</w:t>
            </w:r>
          </w:p>
        </w:tc>
      </w:tr>
      <w:tr>
        <w:trPr>
          <w:cantSplit/>
        </w:trPr>
        <w:tc>
          <w:tcPr>
            <w:tcW w:type="dxa" w:w="2665"/>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Transformation</w:t>
            </w:r>
          </w:p>
        </w:tc>
        <w:tc>
          <w:tcPr>
            <w:tcW w:type="dxa" w:w="7143"/>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Réalisation actuelle, hypothèses cible, dépendances et transitions.</w:t>
            </w:r>
          </w:p>
        </w:tc>
      </w:tr>
      <w:tr>
        <w:trPr>
          <w:cantSplit/>
        </w:trPr>
        <w:tc>
          <w:tcPr>
            <w:tcW w:type="dxa" w:w="2665"/>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Traçabilité</w:t>
            </w:r>
          </w:p>
        </w:tc>
        <w:tc>
          <w:tcPr>
            <w:tcW w:type="dxa" w:w="7143"/>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Source, qualité de preuve, corrections, questions et décisions d’arbitrage.</w:t>
            </w:r>
          </w:p>
        </w:tc>
      </w:tr>
    </w:tbl>
    <w:p>
      <w:pPr>
        <w:pStyle w:val="Heading2"/>
        <w:keepNext/>
      </w:pPr>
      <w:r>
        <w:rPr>
          <w:b w:val="0"/>
          <w:i w:val="0"/>
        </w:rPr>
        <w:t>Deux plateformes : orientation, pas deux branches de la carte</w:t>
      </w:r>
    </w:p>
    <w:tbl>
      <w:tblPr>
        <w:tblStyle w:val="TableGrid"/>
        <w:tblW w:type="auto" w:w="0"/>
        <w:jc w:val="center"/>
        <w:tblLayout w:type="fixed"/>
        <w:tblLook w:firstColumn="1" w:firstRow="1" w:lastColumn="0" w:lastRow="0" w:noHBand="0" w:noVBand="1" w:val="04A0"/>
        <w:tblBorders>
          <w:top w:val="single" w:sz="4" w:color="D8E2E7"/>
          <w:left w:val="single" w:sz="4" w:color="D8E2E7"/>
          <w:bottom w:val="single" w:sz="4" w:color="D8E2E7"/>
          <w:right w:val="single" w:sz="4" w:color="D8E2E7"/>
          <w:insideH w:val="single" w:sz="4" w:color="D8E2E7"/>
          <w:insideV w:val="single" w:sz="4" w:color="D8E2E7"/>
        </w:tblBorders>
      </w:tblPr>
      <w:tblGrid>
        <w:gridCol w:w="2665"/>
        <w:gridCol w:w="7143"/>
      </w:tblGrid>
      <w:tr>
        <w:trPr>
          <w:cantSplit/>
          <w:tblHeader w:val="true"/>
        </w:trPr>
        <w:tc>
          <w:tcPr>
            <w:tcW w:type="dxa" w:w="2665"/>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Plateforme de capacités</w:t>
            </w:r>
          </w:p>
        </w:tc>
        <w:tc>
          <w:tcPr>
            <w:tcW w:type="dxa" w:w="7143"/>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Plateforme de processus / situations</w:t>
            </w:r>
          </w:p>
        </w:tc>
      </w:tr>
      <w:tr>
        <w:trPr>
          <w:cantSplit/>
        </w:trPr>
        <w:tc>
          <w:tcPr>
            <w:tcW w:type="dxa" w:w="2665"/>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États et règles opérationnels relevant de ses domaines.</w:t>
            </w:r>
          </w:p>
        </w:tc>
        <w:tc>
          <w:tcPr>
            <w:tcW w:type="dxa" w:w="7143"/>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Contexte de demande/dossier, objectifs et engagements de traitement.</w:t>
            </w:r>
          </w:p>
        </w:tc>
      </w:tr>
      <w:tr>
        <w:trPr>
          <w:cantSplit/>
        </w:trPr>
        <w:tc>
          <w:tcPr>
            <w:tcW w:type="dxa" w:w="2665"/>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Disponibilités, politiques applicables, décisions de domaine et contrôles d’engagement.</w:t>
            </w:r>
          </w:p>
        </w:tc>
        <w:tc>
          <w:tcPr>
            <w:tcW w:type="dxa" w:w="7143"/>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Enchaînements, sollicitations, intervenants, tâches, délais et exceptions.</w:t>
            </w:r>
          </w:p>
        </w:tc>
      </w:tr>
      <w:tr>
        <w:trPr>
          <w:cantSplit/>
        </w:trPr>
        <w:tc>
          <w:tcPr>
            <w:tcW w:type="dxa" w:w="2665"/>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Opérations et résultats sur stocks/flux et autres objets du commerce.</w:t>
            </w:r>
          </w:p>
        </w:tc>
        <w:tc>
          <w:tcPr>
            <w:tcW w:type="dxa" w:w="7143"/>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Coordination pour obtenir un résultat à partir de plusieurs contributions.</w:t>
            </w:r>
          </w:p>
        </w:tc>
      </w:tr>
    </w:tbl>
    <w:p>
      <w:pPr/>
      <w:r>
        <w:rPr>
          <w:b w:val="0"/>
          <w:i w:val="0"/>
        </w:rPr>
        <w:t>Une Business Capability peut mobiliser les deux plateformes et des personnes. « Prendre en charge une réclamation » reste une capacité même si elle repose largement sur un dossier, des échanges humains et des appels à des services opérationnels.</w:t>
      </w:r>
    </w:p>
    <w:p>
      <w:pPr/>
      <w:r>
        <w:rPr>
          <w:b w:val="0"/>
          <w:i w:val="0"/>
        </w:rPr>
        <w:t xml:space="preserve">La plateforme de capacités ne doit pas être réduite à des données ou à du CRUD ; la plateforme de situations ne doit pas être considérée comme un simple script dépourvu de modèle métier. Le temps long seul ne suffit pas à les séparer. Une transaction métier longue ne conserve pas nécessairement une transaction BDD ouverte ; Saga a été évoqué comme mécanisme possible, sans choix acté </w:t>
      </w:r>
      <w:r>
        <w:rPr>
          <w:b w:val="0"/>
          <w:i w:val="0"/>
        </w:rPr>
        <w:t>[</w:t>
      </w:r>
      <w:r>
        <w:rPr>
          <w:b w:val="0"/>
          <w:i w:val="0"/>
        </w:rPr>
        <w:t>R13–R15]. La coordination interne de C-Log peut rester autonome.</w:t>
      </w:r>
    </w:p>
    <w:p>
      <w:pPr/>
      <w:r>
        <w:rPr>
          <w:b w:val="0"/>
          <w:i w:val="0"/>
        </w:rPr>
        <w:t xml:space="preserve">Le rappel de l’assistant « commande = état de la Demande » provenait d’un contexte antérieur. Il est conservé comme proposition/rappel </w:t>
      </w:r>
      <w:r>
        <w:rPr>
          <w:b/>
          <w:i w:val="0"/>
        </w:rPr>
        <w:t>non validé dans ce fil</w:t>
      </w:r>
      <w:r>
        <w:rPr>
          <w:b w:val="0"/>
          <w:i w:val="0"/>
        </w:rPr>
        <w:t xml:space="preserve"> ; il n’impose ni un référentiel unique de Demande ni une nouvelle hiérarchie de couches. </w:t>
      </w:r>
      <w:r>
        <w:rPr>
          <w:b w:val="0"/>
          <w:i w:val="0"/>
        </w:rPr>
        <w:t>[</w:t>
      </w:r>
      <w:r>
        <w:rPr>
          <w:b w:val="0"/>
          <w:i w:val="0"/>
        </w:rPr>
        <w:t>P56 ; C25]</w:t>
      </w:r>
    </w:p>
    <w:p>
      <w:pPr>
        <w:pStyle w:val="Heading2"/>
        <w:keepNext/>
      </w:pPr>
      <w:r>
        <w:rPr>
          <w:b w:val="0"/>
          <w:i w:val="0"/>
        </w:rPr>
        <w:t>Glossaire de lecture</w:t>
      </w:r>
    </w:p>
    <w:tbl>
      <w:tblPr>
        <w:tblStyle w:val="TableGrid"/>
        <w:tblW w:type="auto" w:w="0"/>
        <w:jc w:val="center"/>
        <w:tblLayout w:type="fixed"/>
        <w:tblLook w:firstColumn="1" w:firstRow="1" w:lastColumn="0" w:lastRow="0" w:noHBand="0" w:noVBand="1" w:val="04A0"/>
        <w:tblBorders>
          <w:top w:val="single" w:sz="4" w:color="D8E2E7"/>
          <w:left w:val="single" w:sz="4" w:color="D8E2E7"/>
          <w:bottom w:val="single" w:sz="4" w:color="D8E2E7"/>
          <w:right w:val="single" w:sz="4" w:color="D8E2E7"/>
          <w:insideH w:val="single" w:sz="4" w:color="D8E2E7"/>
          <w:insideV w:val="single" w:sz="4" w:color="D8E2E7"/>
        </w:tblBorders>
      </w:tblPr>
      <w:tblGrid>
        <w:gridCol w:w="2665"/>
        <w:gridCol w:w="7143"/>
      </w:tblGrid>
      <w:tr>
        <w:trPr>
          <w:cantSplit/>
          <w:tblHeader w:val="true"/>
        </w:trPr>
        <w:tc>
          <w:tcPr>
            <w:tcW w:type="dxa" w:w="2665"/>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Terme</w:t>
            </w:r>
          </w:p>
        </w:tc>
        <w:tc>
          <w:tcPr>
            <w:tcW w:type="dxa" w:w="7143"/>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Convention ou réserve</w:t>
            </w:r>
          </w:p>
        </w:tc>
      </w:tr>
      <w:tr>
        <w:trPr>
          <w:cantSplit/>
        </w:trPr>
        <w:tc>
          <w:tcPr>
            <w:tcW w:type="dxa" w:w="2665"/>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Business Capability</w:t>
            </w:r>
          </w:p>
        </w:tc>
        <w:tc>
          <w:tcPr>
            <w:tcW w:type="dxa" w:w="7143"/>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Aptitude organisationnelle visant un résultat ; distincte de sa réalisation logicielle.</w:t>
            </w:r>
          </w:p>
        </w:tc>
      </w:tr>
      <w:tr>
        <w:trPr>
          <w:cantSplit/>
        </w:trPr>
        <w:tc>
          <w:tcPr>
            <w:tcW w:type="dxa" w:w="2665"/>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Situation / case</w:t>
            </w:r>
          </w:p>
        </w:tc>
        <w:tc>
          <w:tcPr>
            <w:tcW w:type="dxa" w:w="7143"/>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Objet de suivi d’un objectif dans le temps, contexte et exceptions ; vocabulaire proposé.</w:t>
            </w:r>
          </w:p>
        </w:tc>
      </w:tr>
      <w:tr>
        <w:trPr>
          <w:cantSplit/>
        </w:trPr>
        <w:tc>
          <w:tcPr>
            <w:tcW w:type="dxa" w:w="2665"/>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Article / SKU / variant</w:t>
            </w:r>
          </w:p>
        </w:tc>
        <w:tc>
          <w:tcPr>
            <w:tcW w:type="dxa" w:w="7143"/>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Dans ce projet au grain fin : référence produit × taille × couleur.</w:t>
            </w:r>
          </w:p>
        </w:tc>
      </w:tr>
      <w:tr>
        <w:trPr>
          <w:cantSplit/>
        </w:trPr>
        <w:tc>
          <w:tcPr>
            <w:tcW w:type="dxa" w:w="2665"/>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Commande client</w:t>
            </w:r>
          </w:p>
        </w:tc>
        <w:tc>
          <w:tcPr>
            <w:tcW w:type="dxa" w:w="7143"/>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Engagement commercial qui persiste pendant les tentatives SFS.</w:t>
            </w:r>
          </w:p>
        </w:tc>
      </w:tr>
      <w:tr>
        <w:trPr>
          <w:cantSplit/>
        </w:trPr>
        <w:tc>
          <w:tcPr>
            <w:tcW w:type="dxa" w:w="2665"/>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Demande d’exécution magasin</w:t>
            </w:r>
          </w:p>
        </w:tc>
        <w:tc>
          <w:tcPr>
            <w:tcW w:type="dxa" w:w="7143"/>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Sollicitation de préparation/expédition pouvant être refusée, expirer ou être annulée.</w:t>
            </w:r>
          </w:p>
        </w:tc>
      </w:tr>
      <w:tr>
        <w:trPr>
          <w:cantSplit/>
        </w:trPr>
        <w:tc>
          <w:tcPr>
            <w:tcW w:type="dxa" w:w="2665"/>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Demande logistique</w:t>
            </w:r>
          </w:p>
        </w:tc>
        <w:tc>
          <w:tcPr>
            <w:tcW w:type="dxa" w:w="7143"/>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Concept proposé pour le besoin envoyé à C-Log ; ne se confond pas avec le fichier EDI.</w:t>
            </w:r>
          </w:p>
        </w:tc>
      </w:tr>
      <w:tr>
        <w:trPr>
          <w:cantSplit/>
        </w:trPr>
        <w:tc>
          <w:tcPr>
            <w:tcW w:type="dxa" w:w="2665"/>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Allocation</w:t>
            </w:r>
          </w:p>
        </w:tc>
        <w:tc>
          <w:tcPr>
            <w:tcW w:type="dxa" w:w="7143"/>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Terme à qualifier : protection d’enveloppe, affectation, réservation ou autre responsabilité selon contexte.</w:t>
            </w:r>
          </w:p>
        </w:tc>
      </w:tr>
      <w:tr>
        <w:trPr>
          <w:cantSplit/>
        </w:trPr>
        <w:tc>
          <w:tcPr>
            <w:tcW w:type="dxa" w:w="2665"/>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FIFO</w:t>
            </w:r>
          </w:p>
        </w:tc>
        <w:tc>
          <w:tcPr>
            <w:tcW w:type="dxa" w:w="7143"/>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Dans le récit GBM : ordre d’arrivée des demandes, pas rotation physique des lots.</w:t>
            </w:r>
          </w:p>
        </w:tc>
      </w:tr>
      <w:tr>
        <w:trPr>
          <w:cantSplit/>
        </w:trPr>
        <w:tc>
          <w:tcPr>
            <w:tcW w:type="dxa" w:w="2665"/>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Aptitude / capacité de charge</w:t>
            </w:r>
          </w:p>
        </w:tc>
        <w:tc>
          <w:tcPr>
            <w:tcW w:type="dxa" w:w="7143"/>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Savoir réaliser une prestation n’est pas disposer de place/charge pour une demande supplémentaire.</w:t>
            </w:r>
          </w:p>
        </w:tc>
      </w:tr>
      <w:tr>
        <w:trPr>
          <w:cantSplit/>
        </w:trPr>
        <w:tc>
          <w:tcPr>
            <w:tcW w:type="dxa" w:w="2665"/>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Annule et remplace</w:t>
            </w:r>
          </w:p>
        </w:tc>
        <w:tc>
          <w:tcPr>
            <w:tcW w:type="dxa" w:w="7143"/>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MAP : republication de données ; ne prouve pas annulation commerciale.</w:t>
            </w:r>
          </w:p>
        </w:tc>
      </w:tr>
      <w:tr>
        <w:trPr>
          <w:cantSplit/>
        </w:trPr>
        <w:tc>
          <w:tcPr>
            <w:tcW w:type="dxa" w:w="2665"/>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Source de vérité</w:t>
            </w:r>
          </w:p>
        </w:tc>
        <w:tc>
          <w:tcPr>
            <w:tcW w:type="dxa" w:w="7143"/>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Autorité sur une information précise, contexte et période ; présence d’une copie insuffisante.</w:t>
            </w:r>
          </w:p>
        </w:tc>
      </w:tr>
    </w:tbl>
    <w:p>
      <w:pPr>
        <w:pStyle w:val="Heading1"/>
        <w:keepNext/>
        <w:spacing w:before="360"/>
      </w:pPr>
      <w:r>
        <w:rPr>
          <w:b w:val="0"/>
          <w:i w:val="0"/>
        </w:rPr>
        <w:t>14 — Décisions acquises, corrections et réserves</w:t>
      </w:r>
    </w:p>
    <w:p>
      <w:pPr/>
      <w:r>
        <w:rPr>
          <w:b w:val="0"/>
          <w:i w:val="0"/>
        </w:rPr>
        <w:t>Ce registre évite de conserver simultanément une formulation initiale ambiguë et sa correction comme deux faits contradictoires. Une proposition ultérieure ne remplace pas une orientation utilisateur sans décision explicite. Les points résolus ne sont pas reposés comme questions ouvertes.</w:t>
      </w:r>
    </w:p>
    <w:p>
      <w:pPr>
        <w:pStyle w:val="Heading2"/>
        <w:keepNext/>
      </w:pPr>
      <w:r>
        <w:rPr>
          <w:b w:val="0"/>
          <w:i w:val="0"/>
        </w:rPr>
        <w:t>Noms, périmètres et fonctionnement</w:t>
      </w:r>
    </w:p>
    <w:tbl>
      <w:tblPr>
        <w:tblStyle w:val="TableGrid"/>
        <w:tblW w:type="auto" w:w="0"/>
        <w:jc w:val="center"/>
        <w:tblLayout w:type="fixed"/>
        <w:tblLook w:firstColumn="1" w:firstRow="1" w:lastColumn="0" w:lastRow="0" w:noHBand="0" w:noVBand="1" w:val="04A0"/>
        <w:tblBorders>
          <w:top w:val="single" w:sz="4" w:color="D8E2E7"/>
          <w:left w:val="single" w:sz="4" w:color="D8E2E7"/>
          <w:bottom w:val="single" w:sz="4" w:color="D8E2E7"/>
          <w:right w:val="single" w:sz="4" w:color="D8E2E7"/>
          <w:insideH w:val="single" w:sz="4" w:color="D8E2E7"/>
          <w:insideV w:val="single" w:sz="4" w:color="D8E2E7"/>
        </w:tblBorders>
      </w:tblPr>
      <w:tblGrid>
        <w:gridCol w:w="2608"/>
        <w:gridCol w:w="2608"/>
        <w:gridCol w:w="4592"/>
      </w:tblGrid>
      <w:tr>
        <w:trPr>
          <w:cantSplit/>
          <w:tblHeader w:val="true"/>
        </w:trPr>
        <w:tc>
          <w:tcPr>
            <w:tcW w:type="dxa" w:w="2608"/>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ID / origine</w:t>
            </w:r>
          </w:p>
        </w:tc>
        <w:tc>
          <w:tcPr>
            <w:tcW w:type="dxa" w:w="2608"/>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Formulation à éviter</w:t>
            </w:r>
          </w:p>
        </w:tc>
        <w:tc>
          <w:tcPr>
            <w:tcW w:type="dxa" w:w="4592"/>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Position conservée</w:t>
            </w:r>
          </w:p>
        </w:tc>
      </w:tr>
      <w:tr>
        <w:trPr>
          <w:cantSplit/>
        </w:trPr>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 xml:space="preserve">C01 </w:t>
            </w:r>
            <w:r>
              <w:rPr>
                <w:rFonts w:ascii="Noto Sans" w:hAnsi="Noto Sans"/>
                <w:b w:val="0"/>
                <w:i w:val="0"/>
                <w:color w:val="173247"/>
                <w:sz w:val="18"/>
              </w:rPr>
              <w:t>[</w:t>
            </w:r>
            <w:r>
              <w:rPr>
                <w:rFonts w:ascii="Noto Sans" w:hAnsi="Noto Sans"/>
                <w:b w:val="0"/>
                <w:i w:val="0"/>
                <w:color w:val="173247"/>
                <w:sz w:val="18"/>
              </w:rPr>
              <w:t>U01;U02]</w:t>
            </w:r>
          </w:p>
        </w:tc>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Sarenza uniquement marketplace tiers</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Retenir l’activité de revente B2C de catalogues fournisseurs décrite ; conserver le qualificatif initial de plateforme sans en inférer toutes les responsabilités.</w:t>
            </w:r>
          </w:p>
        </w:tc>
      </w:tr>
      <w:tr>
        <w:trPr>
          <w:cantSplit/>
        </w:trPr>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 xml:space="preserve">C02 </w:t>
            </w:r>
            <w:r>
              <w:rPr>
                <w:rFonts w:ascii="Noto Sans" w:hAnsi="Noto Sans"/>
                <w:b w:val="0"/>
                <w:i w:val="0"/>
                <w:color w:val="173247"/>
                <w:sz w:val="18"/>
              </w:rPr>
              <w:t>[</w:t>
            </w:r>
            <w:r>
              <w:rPr>
                <w:rFonts w:ascii="Noto Sans" w:hAnsi="Noto Sans"/>
                <w:b w:val="0"/>
                <w:i w:val="0"/>
                <w:color w:val="173247"/>
                <w:sz w:val="18"/>
              </w:rPr>
              <w:t>U03;A03]</w:t>
            </w:r>
          </w:p>
        </w:tc>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UR = uniquement OMS eCommerce</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Séparer périmètre générique du produit et rôle du déploiement GBM ; ne pas inventer des modules utilisés.</w:t>
            </w:r>
          </w:p>
        </w:tc>
      </w:tr>
      <w:tr>
        <w:trPr>
          <w:cantSplit/>
        </w:trPr>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 xml:space="preserve">C03 </w:t>
            </w:r>
            <w:r>
              <w:rPr>
                <w:rFonts w:ascii="Noto Sans" w:hAnsi="Noto Sans"/>
                <w:b w:val="0"/>
                <w:i w:val="0"/>
                <w:color w:val="173247"/>
                <w:sz w:val="18"/>
              </w:rPr>
              <w:t>[</w:t>
            </w:r>
            <w:r>
              <w:rPr>
                <w:rFonts w:ascii="Noto Sans" w:hAnsi="Noto Sans"/>
                <w:b w:val="0"/>
                <w:i w:val="0"/>
                <w:color w:val="173247"/>
                <w:sz w:val="18"/>
              </w:rPr>
              <w:t>U03;A03]</w:t>
            </w:r>
          </w:p>
        </w:tc>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UR ne sait jamais faire du ship-from-store</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Conserver le constat de limite du déploiement GBM ; une capacité produit annoncée ne prouve ni disponibilité ni usage dans la version installée.</w:t>
            </w:r>
          </w:p>
        </w:tc>
      </w:tr>
      <w:tr>
        <w:trPr>
          <w:cantSplit/>
        </w:trPr>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 xml:space="preserve">C04 </w:t>
            </w:r>
            <w:r>
              <w:rPr>
                <w:rFonts w:ascii="Noto Sans" w:hAnsi="Noto Sans"/>
                <w:b w:val="0"/>
                <w:i w:val="0"/>
                <w:color w:val="173247"/>
                <w:sz w:val="18"/>
              </w:rPr>
              <w:t>[</w:t>
            </w:r>
            <w:r>
              <w:rPr>
                <w:rFonts w:ascii="Noto Sans" w:hAnsi="Noto Sans"/>
                <w:b w:val="0"/>
                <w:i w:val="0"/>
                <w:color w:val="173247"/>
                <w:sz w:val="18"/>
              </w:rPr>
              <w:t>U03]</w:t>
            </w:r>
          </w:p>
        </w:tc>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Storeland fait aussi la caisse</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Attribuer caisse et commandes client en magasin aux logiciels POS spécialisés.</w:t>
            </w:r>
          </w:p>
        </w:tc>
      </w:tr>
      <w:tr>
        <w:trPr>
          <w:cantSplit/>
        </w:trPr>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 xml:space="preserve">C05 </w:t>
            </w:r>
            <w:r>
              <w:rPr>
                <w:rFonts w:ascii="Noto Sans" w:hAnsi="Noto Sans"/>
                <w:b w:val="0"/>
                <w:i w:val="0"/>
                <w:color w:val="173247"/>
                <w:sz w:val="18"/>
              </w:rPr>
              <w:t>[</w:t>
            </w:r>
            <w:r>
              <w:rPr>
                <w:rFonts w:ascii="Noto Sans" w:hAnsi="Noto Sans"/>
                <w:b w:val="0"/>
                <w:i w:val="0"/>
                <w:color w:val="173247"/>
                <w:sz w:val="18"/>
              </w:rPr>
              <w:t>U03]</w:t>
            </w:r>
          </w:p>
        </w:tc>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Pas de middleware = pas d’intégration transverse</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Distinguer architecture Oracle/Storeland et plateforme Talend transverse.</w:t>
            </w:r>
          </w:p>
        </w:tc>
      </w:tr>
      <w:tr>
        <w:trPr>
          <w:cantSplit/>
        </w:trPr>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 xml:space="preserve">C06 </w:t>
            </w:r>
            <w:r>
              <w:rPr>
                <w:rFonts w:ascii="Noto Sans" w:hAnsi="Noto Sans"/>
                <w:b w:val="0"/>
                <w:i w:val="0"/>
                <w:color w:val="173247"/>
                <w:sz w:val="18"/>
              </w:rPr>
              <w:t>[</w:t>
            </w:r>
            <w:r>
              <w:rPr>
                <w:rFonts w:ascii="Noto Sans" w:hAnsi="Noto Sans"/>
                <w:b w:val="0"/>
                <w:i w:val="0"/>
                <w:color w:val="173247"/>
                <w:sz w:val="18"/>
              </w:rPr>
              <w:t>U03;U07]</w:t>
            </w:r>
          </w:p>
        </w:tc>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C-Log est une application</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C-Log est une filiale avec DSI ; distinguer organisation, SI, OMS Crossroad et autres outils.</w:t>
            </w:r>
          </w:p>
        </w:tc>
      </w:tr>
      <w:tr>
        <w:trPr>
          <w:cantSplit/>
        </w:trPr>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 xml:space="preserve">C07 </w:t>
            </w:r>
            <w:r>
              <w:rPr>
                <w:rFonts w:ascii="Noto Sans" w:hAnsi="Noto Sans"/>
                <w:b w:val="0"/>
                <w:i w:val="0"/>
                <w:color w:val="173247"/>
                <w:sz w:val="18"/>
              </w:rPr>
              <w:t>[</w:t>
            </w:r>
            <w:r>
              <w:rPr>
                <w:rFonts w:ascii="Noto Sans" w:hAnsi="Noto Sans"/>
                <w:b w:val="0"/>
                <w:i w:val="0"/>
                <w:color w:val="173247"/>
                <w:sz w:val="18"/>
              </w:rPr>
              <w:t>U04;U05]</w:t>
            </w:r>
          </w:p>
        </w:tc>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Annulation de la commande client après 15 minutes</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Seule la demande magasin est annulée ; la commande client persiste ; nouvelle tentative magasin.</w:t>
            </w:r>
          </w:p>
        </w:tc>
      </w:tr>
      <w:tr>
        <w:trPr>
          <w:cantSplit/>
        </w:trPr>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 xml:space="preserve">C08 </w:t>
            </w:r>
            <w:r>
              <w:rPr>
                <w:rFonts w:ascii="Noto Sans" w:hAnsi="Noto Sans"/>
                <w:b w:val="0"/>
                <w:i w:val="0"/>
                <w:color w:val="173247"/>
                <w:sz w:val="18"/>
              </w:rPr>
              <w:t>[</w:t>
            </w:r>
            <w:r>
              <w:rPr>
                <w:rFonts w:ascii="Noto Sans" w:hAnsi="Noto Sans"/>
                <w:b w:val="0"/>
                <w:i w:val="0"/>
                <w:color w:val="173247"/>
                <w:sz w:val="18"/>
              </w:rPr>
              <w:t>U04]</w:t>
            </w:r>
          </w:p>
        </w:tc>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Escalade en fin de journée certaine</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Conserver « dans la journée, il me semble » comme délai incertain.</w:t>
            </w:r>
          </w:p>
        </w:tc>
      </w:tr>
      <w:tr>
        <w:trPr>
          <w:cantSplit/>
        </w:trPr>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 xml:space="preserve">C09 </w:t>
            </w:r>
            <w:r>
              <w:rPr>
                <w:rFonts w:ascii="Noto Sans" w:hAnsi="Noto Sans"/>
                <w:b w:val="0"/>
                <w:i w:val="0"/>
                <w:color w:val="173247"/>
                <w:sz w:val="18"/>
              </w:rPr>
              <w:t>[</w:t>
            </w:r>
            <w:r>
              <w:rPr>
                <w:rFonts w:ascii="Noto Sans" w:hAnsi="Noto Sans"/>
                <w:b w:val="0"/>
                <w:i w:val="0"/>
                <w:color w:val="173247"/>
                <w:sz w:val="18"/>
              </w:rPr>
              <w:t>U06;U07]</w:t>
            </w:r>
          </w:p>
        </w:tc>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SCO-TEX</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Nom normalisé SCORTEX ; conserver le nom antérieur uniquement dans l’historique/verbatim.</w:t>
            </w:r>
          </w:p>
        </w:tc>
      </w:tr>
      <w:tr>
        <w:trPr>
          <w:cantSplit/>
        </w:trPr>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 xml:space="preserve">C10 </w:t>
            </w:r>
            <w:r>
              <w:rPr>
                <w:rFonts w:ascii="Noto Sans" w:hAnsi="Noto Sans"/>
                <w:b w:val="0"/>
                <w:i w:val="0"/>
                <w:color w:val="173247"/>
                <w:sz w:val="18"/>
              </w:rPr>
              <w:t>[</w:t>
            </w:r>
            <w:r>
              <w:rPr>
                <w:rFonts w:ascii="Noto Sans" w:hAnsi="Noto Sans"/>
                <w:b w:val="0"/>
                <w:i w:val="0"/>
                <w:color w:val="173247"/>
                <w:sz w:val="18"/>
              </w:rPr>
              <w:t>U06;U07]</w:t>
            </w:r>
          </w:p>
        </w:tc>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Crossroad est l’éditeur</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KBRW est l’éditeur ; Crossroad est le logiciel.</w:t>
            </w:r>
          </w:p>
        </w:tc>
      </w:tr>
    </w:tbl>
    <w:p>
      <w:pPr>
        <w:pStyle w:val="Heading2"/>
        <w:keepNext/>
      </w:pPr>
      <w:r>
        <w:rPr>
          <w:b w:val="0"/>
          <w:i w:val="0"/>
        </w:rPr>
        <w:t>Interprétations à ne pas durcir</w:t>
      </w:r>
    </w:p>
    <w:tbl>
      <w:tblPr>
        <w:tblStyle w:val="TableGrid"/>
        <w:tblW w:type="auto" w:w="0"/>
        <w:jc w:val="center"/>
        <w:tblLayout w:type="fixed"/>
        <w:tblLook w:firstColumn="1" w:firstRow="1" w:lastColumn="0" w:lastRow="0" w:noHBand="0" w:noVBand="1" w:val="04A0"/>
        <w:tblBorders>
          <w:top w:val="single" w:sz="4" w:color="D8E2E7"/>
          <w:left w:val="single" w:sz="4" w:color="D8E2E7"/>
          <w:bottom w:val="single" w:sz="4" w:color="D8E2E7"/>
          <w:right w:val="single" w:sz="4" w:color="D8E2E7"/>
          <w:insideH w:val="single" w:sz="4" w:color="D8E2E7"/>
          <w:insideV w:val="single" w:sz="4" w:color="D8E2E7"/>
        </w:tblBorders>
      </w:tblPr>
      <w:tblGrid>
        <w:gridCol w:w="2608"/>
        <w:gridCol w:w="2608"/>
        <w:gridCol w:w="4592"/>
      </w:tblGrid>
      <w:tr>
        <w:trPr>
          <w:cantSplit/>
          <w:tblHeader w:val="true"/>
        </w:trPr>
        <w:tc>
          <w:tcPr>
            <w:tcW w:type="dxa" w:w="2608"/>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ID / origine</w:t>
            </w:r>
          </w:p>
        </w:tc>
        <w:tc>
          <w:tcPr>
            <w:tcW w:type="dxa" w:w="2608"/>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Formulation à éviter</w:t>
            </w:r>
          </w:p>
        </w:tc>
        <w:tc>
          <w:tcPr>
            <w:tcW w:type="dxa" w:w="4592"/>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Position conservée</w:t>
            </w:r>
          </w:p>
        </w:tc>
      </w:tr>
      <w:tr>
        <w:trPr>
          <w:cantSplit/>
        </w:trPr>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 xml:space="preserve">C11 </w:t>
            </w:r>
            <w:r>
              <w:rPr>
                <w:rFonts w:ascii="Noto Sans" w:hAnsi="Noto Sans"/>
                <w:b w:val="0"/>
                <w:i w:val="0"/>
                <w:color w:val="173247"/>
                <w:sz w:val="18"/>
              </w:rPr>
              <w:t>[</w:t>
            </w:r>
            <w:r>
              <w:rPr>
                <w:rFonts w:ascii="Noto Sans" w:hAnsi="Noto Sans"/>
                <w:b w:val="0"/>
                <w:i w:val="0"/>
                <w:color w:val="173247"/>
                <w:sz w:val="18"/>
              </w:rPr>
              <w:t>U06]</w:t>
            </w:r>
          </w:p>
        </w:tc>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IRMA a déjà remplacé SCORTEX partout</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Déploiement en cours ; inventaire des périmètres de migration non fourni.</w:t>
            </w:r>
          </w:p>
        </w:tc>
      </w:tr>
      <w:tr>
        <w:trPr>
          <w:cantSplit/>
        </w:trPr>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 xml:space="preserve">C12 </w:t>
            </w:r>
            <w:r>
              <w:rPr>
                <w:rFonts w:ascii="Noto Sans" w:hAnsi="Noto Sans"/>
                <w:b w:val="0"/>
                <w:i w:val="0"/>
                <w:color w:val="173247"/>
                <w:sz w:val="18"/>
              </w:rPr>
              <w:t>[</w:t>
            </w:r>
            <w:r>
              <w:rPr>
                <w:rFonts w:ascii="Noto Sans" w:hAnsi="Noto Sans"/>
                <w:b w:val="0"/>
                <w:i w:val="0"/>
                <w:color w:val="173247"/>
                <w:sz w:val="18"/>
              </w:rPr>
              <w:t>U07;U09]</w:t>
            </w:r>
          </w:p>
        </w:tc>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Recentrer la carte sur information et décision</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La carte reste métier ; prendre ces notions en compte au niveau d’urbanisme pertinent, encore à définir.</w:t>
            </w:r>
          </w:p>
        </w:tc>
      </w:tr>
      <w:tr>
        <w:trPr>
          <w:cantSplit/>
        </w:trPr>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 xml:space="preserve">C13 </w:t>
            </w:r>
            <w:r>
              <w:rPr>
                <w:rFonts w:ascii="Noto Sans" w:hAnsi="Noto Sans"/>
                <w:b w:val="0"/>
                <w:i w:val="0"/>
                <w:color w:val="173247"/>
                <w:sz w:val="18"/>
              </w:rPr>
              <w:t>[</w:t>
            </w:r>
            <w:r>
              <w:rPr>
                <w:rFonts w:ascii="Noto Sans" w:hAnsi="Noto Sans"/>
                <w:b w:val="0"/>
                <w:i w:val="0"/>
                <w:color w:val="173247"/>
                <w:sz w:val="18"/>
              </w:rPr>
              <w:t>U07]</w:t>
            </w:r>
          </w:p>
        </w:tc>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Absorber le SI C-Log dans le futur ERP</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Hors objectif ; documenter la frontière de responsabilité et les décisions éventuellement à redéfinir.</w:t>
            </w:r>
          </w:p>
        </w:tc>
      </w:tr>
      <w:tr>
        <w:trPr>
          <w:cantSplit/>
        </w:trPr>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 xml:space="preserve">C14 </w:t>
            </w:r>
            <w:r>
              <w:rPr>
                <w:rFonts w:ascii="Noto Sans" w:hAnsi="Noto Sans"/>
                <w:b w:val="0"/>
                <w:i w:val="0"/>
                <w:color w:val="173247"/>
                <w:sz w:val="18"/>
              </w:rPr>
              <w:t>[</w:t>
            </w:r>
            <w:r>
              <w:rPr>
                <w:rFonts w:ascii="Noto Sans" w:hAnsi="Noto Sans"/>
                <w:b w:val="0"/>
                <w:i w:val="0"/>
                <w:color w:val="173247"/>
                <w:sz w:val="18"/>
              </w:rPr>
              <w:t>U02;A02;A06]</w:t>
            </w:r>
          </w:p>
        </w:tc>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Les deux plateformes sont les deux branches L1 de la carte</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Les deux plateformes sont une orientation de réalisation ; la décomposition métier reste distincte.</w:t>
            </w:r>
          </w:p>
        </w:tc>
      </w:tr>
      <w:tr>
        <w:trPr>
          <w:cantSplit/>
        </w:trPr>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 xml:space="preserve">C15 </w:t>
            </w:r>
            <w:r>
              <w:rPr>
                <w:rFonts w:ascii="Noto Sans" w:hAnsi="Noto Sans"/>
                <w:b w:val="0"/>
                <w:i w:val="0"/>
                <w:color w:val="173247"/>
                <w:sz w:val="18"/>
              </w:rPr>
              <w:t>[</w:t>
            </w:r>
            <w:r>
              <w:rPr>
                <w:rFonts w:ascii="Noto Sans" w:hAnsi="Noto Sans"/>
                <w:b w:val="0"/>
                <w:i w:val="0"/>
                <w:color w:val="173247"/>
                <w:sz w:val="18"/>
              </w:rPr>
              <w:t>U10]</w:t>
            </w:r>
          </w:p>
        </w:tc>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MAP est sur Snowflake avec certitude</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Hypothèse explicite ; contrairement à IRMA, la plateforme de MAP n’est pas confirmée.</w:t>
            </w:r>
          </w:p>
        </w:tc>
      </w:tr>
      <w:tr>
        <w:trPr>
          <w:cantSplit/>
        </w:trPr>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 xml:space="preserve">C16 </w:t>
            </w:r>
            <w:r>
              <w:rPr>
                <w:rFonts w:ascii="Noto Sans" w:hAnsi="Noto Sans"/>
                <w:b w:val="0"/>
                <w:i w:val="0"/>
                <w:color w:val="173247"/>
                <w:sz w:val="18"/>
              </w:rPr>
              <w:t>[</w:t>
            </w:r>
            <w:r>
              <w:rPr>
                <w:rFonts w:ascii="Noto Sans" w:hAnsi="Noto Sans"/>
                <w:b w:val="0"/>
                <w:i w:val="0"/>
                <w:color w:val="173247"/>
                <w:sz w:val="18"/>
              </w:rPr>
              <w:t>U06;U10]</w:t>
            </w:r>
          </w:p>
        </w:tc>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MAP et IRMA font le même calcul de seuils</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IRMA : réassort magasin ; MAP : prévisions/protection marque-canal/stockage/achats. Relations et recouvrements à établir.</w:t>
            </w:r>
          </w:p>
        </w:tc>
      </w:tr>
      <w:tr>
        <w:trPr>
          <w:cantSplit/>
        </w:trPr>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 xml:space="preserve">C17 </w:t>
            </w:r>
            <w:r>
              <w:rPr>
                <w:rFonts w:ascii="Noto Sans" w:hAnsi="Noto Sans"/>
                <w:b w:val="0"/>
                <w:i w:val="0"/>
                <w:color w:val="173247"/>
                <w:sz w:val="18"/>
              </w:rPr>
              <w:t>[</w:t>
            </w:r>
            <w:r>
              <w:rPr>
                <w:rFonts w:ascii="Noto Sans" w:hAnsi="Noto Sans"/>
                <w:b w:val="0"/>
                <w:i w:val="0"/>
                <w:color w:val="173247"/>
                <w:sz w:val="18"/>
              </w:rPr>
              <w:t>U10]</w:t>
            </w:r>
          </w:p>
        </w:tc>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Annule et remplace = annulation des ventes</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MAP remplace des données dans le système opérant ; objets et effets sur engagements inconnus.</w:t>
            </w:r>
          </w:p>
        </w:tc>
      </w:tr>
      <w:tr>
        <w:trPr>
          <w:cantSplit/>
        </w:trPr>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 xml:space="preserve">C18 </w:t>
            </w:r>
            <w:r>
              <w:rPr>
                <w:rFonts w:ascii="Noto Sans" w:hAnsi="Noto Sans"/>
                <w:b w:val="0"/>
                <w:i w:val="0"/>
                <w:color w:val="173247"/>
                <w:sz w:val="18"/>
              </w:rPr>
              <w:t>[</w:t>
            </w:r>
            <w:r>
              <w:rPr>
                <w:rFonts w:ascii="Noto Sans" w:hAnsi="Noto Sans"/>
                <w:b w:val="0"/>
                <w:i w:val="0"/>
                <w:color w:val="173247"/>
                <w:sz w:val="18"/>
              </w:rPr>
              <w:t>U10]</w:t>
            </w:r>
          </w:p>
        </w:tc>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GBM réalloue au client Gold comme l’exemple hypothétique</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Scénario explicitement écarté du fonctionnement décrit : pas de repriorisation commerciale.</w:t>
            </w:r>
          </w:p>
        </w:tc>
      </w:tr>
      <w:tr>
        <w:trPr>
          <w:cantSplit/>
        </w:trPr>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 xml:space="preserve">C19 </w:t>
            </w:r>
            <w:r>
              <w:rPr>
                <w:rFonts w:ascii="Noto Sans" w:hAnsi="Noto Sans"/>
                <w:b w:val="0"/>
                <w:i w:val="0"/>
                <w:color w:val="173247"/>
                <w:sz w:val="18"/>
              </w:rPr>
              <w:t>[</w:t>
            </w:r>
            <w:r>
              <w:rPr>
                <w:rFonts w:ascii="Noto Sans" w:hAnsi="Noto Sans"/>
                <w:b w:val="0"/>
                <w:i w:val="0"/>
                <w:color w:val="173247"/>
                <w:sz w:val="18"/>
              </w:rPr>
              <w:t>U10]</w:t>
            </w:r>
          </w:p>
        </w:tc>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FIFO décrit la rotation des lots physiques</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Dans le récit, FIFO désigne l’ordre de service des demandes.</w:t>
            </w:r>
          </w:p>
        </w:tc>
      </w:tr>
      <w:tr>
        <w:trPr>
          <w:cantSplit/>
        </w:trPr>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 xml:space="preserve">C20 </w:t>
            </w:r>
            <w:r>
              <w:rPr>
                <w:rFonts w:ascii="Noto Sans" w:hAnsi="Noto Sans"/>
                <w:b w:val="0"/>
                <w:i w:val="0"/>
                <w:color w:val="173247"/>
                <w:sz w:val="18"/>
              </w:rPr>
              <w:t>[</w:t>
            </w:r>
            <w:r>
              <w:rPr>
                <w:rFonts w:ascii="Noto Sans" w:hAnsi="Noto Sans"/>
                <w:b w:val="0"/>
                <w:i w:val="0"/>
                <w:color w:val="173247"/>
                <w:sz w:val="18"/>
              </w:rPr>
              <w:t>U10]</w:t>
            </w:r>
          </w:p>
        </w:tc>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Vente sur stock garantit l’absence technique de survente</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Politique nominale déclarée ; garanties de synchronisation et stock réel restent à instruire.</w:t>
            </w:r>
          </w:p>
        </w:tc>
      </w:tr>
    </w:tbl>
    <w:p>
      <w:pPr>
        <w:pStyle w:val="Heading2"/>
        <w:keepNext/>
      </w:pPr>
      <w:r>
        <w:rPr>
          <w:b w:val="0"/>
          <w:i w:val="0"/>
        </w:rPr>
        <w:t>Périmètre, provenance et continuité</w:t>
      </w:r>
    </w:p>
    <w:tbl>
      <w:tblPr>
        <w:tblStyle w:val="TableGrid"/>
        <w:tblW w:type="auto" w:w="0"/>
        <w:jc w:val="center"/>
        <w:tblLayout w:type="fixed"/>
        <w:tblLook w:firstColumn="1" w:firstRow="1" w:lastColumn="0" w:lastRow="0" w:noHBand="0" w:noVBand="1" w:val="04A0"/>
        <w:tblBorders>
          <w:top w:val="single" w:sz="4" w:color="D8E2E7"/>
          <w:left w:val="single" w:sz="4" w:color="D8E2E7"/>
          <w:bottom w:val="single" w:sz="4" w:color="D8E2E7"/>
          <w:right w:val="single" w:sz="4" w:color="D8E2E7"/>
          <w:insideH w:val="single" w:sz="4" w:color="D8E2E7"/>
          <w:insideV w:val="single" w:sz="4" w:color="D8E2E7"/>
        </w:tblBorders>
      </w:tblPr>
      <w:tblGrid>
        <w:gridCol w:w="2608"/>
        <w:gridCol w:w="2608"/>
        <w:gridCol w:w="4592"/>
      </w:tblGrid>
      <w:tr>
        <w:trPr>
          <w:cantSplit/>
          <w:tblHeader w:val="true"/>
        </w:trPr>
        <w:tc>
          <w:tcPr>
            <w:tcW w:type="dxa" w:w="2608"/>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ID / origine</w:t>
            </w:r>
          </w:p>
        </w:tc>
        <w:tc>
          <w:tcPr>
            <w:tcW w:type="dxa" w:w="2608"/>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Formulation à éviter</w:t>
            </w:r>
          </w:p>
        </w:tc>
        <w:tc>
          <w:tcPr>
            <w:tcW w:type="dxa" w:w="4592"/>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Position conservée</w:t>
            </w:r>
          </w:p>
        </w:tc>
      </w:tr>
      <w:tr>
        <w:trPr>
          <w:cantSplit/>
        </w:trPr>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 xml:space="preserve">C21 </w:t>
            </w:r>
            <w:r>
              <w:rPr>
                <w:rFonts w:ascii="Noto Sans" w:hAnsi="Noto Sans"/>
                <w:b w:val="0"/>
                <w:i w:val="0"/>
                <w:color w:val="173247"/>
                <w:sz w:val="18"/>
              </w:rPr>
              <w:t>[</w:t>
            </w:r>
            <w:r>
              <w:rPr>
                <w:rFonts w:ascii="Noto Sans" w:hAnsi="Noto Sans"/>
                <w:b w:val="0"/>
                <w:i w:val="0"/>
                <w:color w:val="173247"/>
                <w:sz w:val="18"/>
              </w:rPr>
              <w:t>U01;U10]</w:t>
            </w:r>
          </w:p>
        </w:tc>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Documenter MAP réintègre toute la planification amont</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Conserver le contexte et les interfaces ; statut de frontière pour protections/achats, sans élargissement implicite.</w:t>
            </w:r>
          </w:p>
        </w:tc>
      </w:tr>
      <w:tr>
        <w:trPr>
          <w:cantSplit/>
        </w:trPr>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 xml:space="preserve">C22 </w:t>
            </w:r>
            <w:r>
              <w:rPr>
                <w:rFonts w:ascii="Noto Sans" w:hAnsi="Noto Sans"/>
                <w:b w:val="0"/>
                <w:i w:val="0"/>
                <w:color w:val="173247"/>
                <w:sz w:val="18"/>
              </w:rPr>
              <w:t>[</w:t>
            </w:r>
            <w:r>
              <w:rPr>
                <w:rFonts w:ascii="Noto Sans" w:hAnsi="Noto Sans"/>
                <w:b w:val="0"/>
                <w:i w:val="0"/>
                <w:color w:val="173247"/>
                <w:sz w:val="18"/>
              </w:rPr>
              <w:t>U03;U10]</w:t>
            </w:r>
          </w:p>
        </w:tc>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CBS est forcément toute l’application achats sur mesure initiale</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Rapprochement plausible mais non confirmé ; MAP produit la demande, CBS suit l’amont.</w:t>
            </w:r>
          </w:p>
        </w:tc>
      </w:tr>
      <w:tr>
        <w:trPr>
          <w:cantSplit/>
        </w:trPr>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 xml:space="preserve">C23 </w:t>
            </w:r>
            <w:r>
              <w:rPr>
                <w:rFonts w:ascii="Noto Sans" w:hAnsi="Noto Sans"/>
                <w:b w:val="0"/>
                <w:i w:val="0"/>
                <w:color w:val="173247"/>
                <w:sz w:val="18"/>
              </w:rPr>
              <w:t>[</w:t>
            </w:r>
            <w:r>
              <w:rPr>
                <w:rFonts w:ascii="Noto Sans" w:hAnsi="Noto Sans"/>
                <w:b w:val="0"/>
                <w:i w:val="0"/>
                <w:color w:val="173247"/>
                <w:sz w:val="18"/>
              </w:rPr>
              <w:t>U10]</w:t>
            </w:r>
          </w:p>
        </w:tc>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Une demande d’achat est déjà une commande ferme</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Ne pas poser cette équivalence sans connaître validation, émission fournisseur et engagement.</w:t>
            </w:r>
          </w:p>
        </w:tc>
      </w:tr>
      <w:tr>
        <w:trPr>
          <w:cantSplit/>
        </w:trPr>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 xml:space="preserve">C24 </w:t>
            </w:r>
            <w:r>
              <w:rPr>
                <w:rFonts w:ascii="Noto Sans" w:hAnsi="Noto Sans"/>
                <w:b w:val="0"/>
                <w:i w:val="0"/>
                <w:color w:val="173247"/>
                <w:sz w:val="18"/>
              </w:rPr>
              <w:t>[</w:t>
            </w:r>
            <w:r>
              <w:rPr>
                <w:rFonts w:ascii="Noto Sans" w:hAnsi="Noto Sans"/>
                <w:b w:val="0"/>
                <w:i w:val="0"/>
                <w:color w:val="173247"/>
                <w:sz w:val="18"/>
              </w:rPr>
              <w:t>A08;A09;U13]</w:t>
            </w:r>
          </w:p>
        </w:tc>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Les notes mémorisées constituent déjà un dossier versionné</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Avant cette livraison, pas de document maître créé dans le fil ; la version 0.1 constitue le premier dossier effectif.</w:t>
            </w:r>
          </w:p>
        </w:tc>
      </w:tr>
      <w:tr>
        <w:trPr>
          <w:cantSplit/>
        </w:trPr>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 xml:space="preserve">C25 </w:t>
            </w:r>
            <w:r>
              <w:rPr>
                <w:rFonts w:ascii="Noto Sans" w:hAnsi="Noto Sans"/>
                <w:b w:val="0"/>
                <w:i w:val="0"/>
                <w:color w:val="173247"/>
                <w:sz w:val="18"/>
              </w:rPr>
              <w:t>[</w:t>
            </w:r>
            <w:r>
              <w:rPr>
                <w:rFonts w:ascii="Noto Sans" w:hAnsi="Noto Sans"/>
                <w:b w:val="0"/>
                <w:i w:val="0"/>
                <w:color w:val="173247"/>
                <w:sz w:val="18"/>
              </w:rPr>
              <w:t>A02]</w:t>
            </w:r>
          </w:p>
        </w:tc>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Commande = état de la Demande, doctrine validée dans ce fil</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Formulation introduite par l’assistant en rappel d’un autre contexte ; conserver comme proposition/rappel non validé dans ce corpus. Ne pas imposer un modèle d’objet unique.</w:t>
            </w:r>
          </w:p>
        </w:tc>
      </w:tr>
      <w:tr>
        <w:trPr>
          <w:cantSplit/>
        </w:trPr>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 xml:space="preserve">C26 </w:t>
            </w:r>
            <w:r>
              <w:rPr>
                <w:rFonts w:ascii="Noto Sans" w:hAnsi="Noto Sans"/>
                <w:b w:val="0"/>
                <w:i w:val="0"/>
                <w:color w:val="173247"/>
                <w:sz w:val="18"/>
              </w:rPr>
              <w:t>[</w:t>
            </w:r>
            <w:r>
              <w:rPr>
                <w:rFonts w:ascii="Noto Sans" w:hAnsi="Noto Sans"/>
                <w:b w:val="0"/>
                <w:i w:val="0"/>
                <w:color w:val="173247"/>
                <w:sz w:val="18"/>
              </w:rPr>
              <w:t>A06;U07]</w:t>
            </w:r>
          </w:p>
        </w:tc>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Capacités logistiques candidates toutes incluses dans le cœur ERP</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Conserver les responsabilités comme interfaces/frontière ; exécution C-Log hors décomposition détaillée de la cible commerce.</w:t>
            </w:r>
          </w:p>
        </w:tc>
      </w:tr>
      <w:tr>
        <w:trPr>
          <w:cantSplit/>
        </w:trPr>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 xml:space="preserve">C27 </w:t>
            </w:r>
            <w:r>
              <w:rPr>
                <w:rFonts w:ascii="Noto Sans" w:hAnsi="Noto Sans"/>
                <w:b w:val="0"/>
                <w:i w:val="0"/>
                <w:color w:val="173247"/>
                <w:sz w:val="18"/>
              </w:rPr>
              <w:t>[</w:t>
            </w:r>
            <w:r>
              <w:rPr>
                <w:rFonts w:ascii="Noto Sans" w:hAnsi="Noto Sans"/>
                <w:b w:val="0"/>
                <w:i w:val="0"/>
                <w:color w:val="173247"/>
                <w:sz w:val="18"/>
              </w:rPr>
              <w:t>U08;U12]</w:t>
            </w:r>
          </w:p>
        </w:tc>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Relances utilisateur ignorées</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Conserver la trace des deux interruptions et le besoin de livraisons effectives/retours visibles. Aucune information métier supplémentaire à inférer.</w:t>
            </w:r>
          </w:p>
        </w:tc>
      </w:tr>
    </w:tbl>
    <w:p>
      <w:pPr/>
      <w:r>
        <w:rPr>
          <w:b w:val="0"/>
          <w:i w:val="0"/>
        </w:rPr>
        <w:t>Les trois points de nommage/fonctionnement les plus explicites sont clos : SCORTEX ; KBRW éditeur/Crossroad logiciel ; annulation de tentative magasin et non de commande client. La hiérarchie, les verbes précis, les autorités cibles et la répartition entre plateformes restent ouverts. Le simple accord sur la démarche n’est pas une validation implicite du catalogue candidat.</w:t>
      </w:r>
    </w:p>
    <w:p>
      <w:pPr>
        <w:pStyle w:val="Heading1"/>
        <w:keepNext/>
        <w:spacing w:before="360"/>
      </w:pPr>
      <w:r>
        <w:rPr>
          <w:b w:val="0"/>
          <w:i w:val="0"/>
        </w:rPr>
        <w:t>15 — Catalogue candidat et exploration cible</w:t>
      </w:r>
    </w:p>
    <w:p>
      <w:pPr/>
      <w:r>
        <w:rPr>
          <w:b w:val="0"/>
          <w:i w:val="0"/>
        </w:rPr>
        <w:t xml:space="preserve">Le tableau rassemble les responsabilités apparues dans la conversation et celles proposées pour rendre ses frontières lisibles. </w:t>
      </w:r>
      <w:r>
        <w:rPr>
          <w:b/>
          <w:i w:val="0"/>
        </w:rPr>
        <w:t>Il ne constitue pas une hiérarchie validée de 35 capacités.</w:t>
      </w:r>
      <w:r>
        <w:rPr>
          <w:b w:val="0"/>
          <w:i w:val="0"/>
        </w:rPr>
        <w:t xml:space="preserve"> Certaines entrées pourront être réunies, subdivisées, requalifiées comme attributs ou laissées hors périmètre. Les prestations C-Log et les fonctions amont sont conservées à l’interface afin de ne perdre aucune information du récit.</w:t>
      </w:r>
    </w:p>
    <w:p>
      <w:pPr/>
      <w:r>
        <w:rPr>
          <w:b w:val="0"/>
          <w:i w:val="0"/>
        </w:rPr>
        <w:t>Les regroupements sont uniquement des repères de lecture. Les identifiants n’impliquent ni niveau, ni ordre d’exécution, ni découpage en services ou produits.</w:t>
      </w:r>
    </w:p>
    <w:p>
      <w:pPr>
        <w:pStyle w:val="Heading2"/>
        <w:keepNext/>
      </w:pPr>
      <w:r>
        <w:rPr>
          <w:b w:val="0"/>
          <w:i w:val="0"/>
        </w:rPr>
        <w:t>Référentiels, stock et protection</w:t>
      </w:r>
    </w:p>
    <w:tbl>
      <w:tblPr>
        <w:tblStyle w:val="TableGrid"/>
        <w:tblW w:type="auto" w:w="0"/>
        <w:jc w:val="center"/>
        <w:tblLayout w:type="fixed"/>
        <w:tblLook w:firstColumn="1" w:firstRow="1" w:lastColumn="0" w:lastRow="0" w:noHBand="0" w:noVBand="1" w:val="04A0"/>
        <w:tblBorders>
          <w:top w:val="single" w:sz="4" w:color="D8E2E7"/>
          <w:left w:val="single" w:sz="4" w:color="D8E2E7"/>
          <w:bottom w:val="single" w:sz="4" w:color="D8E2E7"/>
          <w:right w:val="single" w:sz="4" w:color="D8E2E7"/>
          <w:insideH w:val="single" w:sz="4" w:color="D8E2E7"/>
          <w:insideV w:val="single" w:sz="4" w:color="D8E2E7"/>
        </w:tblBorders>
      </w:tblPr>
      <w:tblGrid>
        <w:gridCol w:w="2608"/>
        <w:gridCol w:w="2608"/>
        <w:gridCol w:w="4592"/>
      </w:tblGrid>
      <w:tr>
        <w:trPr>
          <w:cantSplit/>
          <w:tblHeader w:val="true"/>
        </w:trPr>
        <w:tc>
          <w:tcPr>
            <w:tcW w:type="dxa" w:w="2608"/>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Candidat</w:t>
            </w:r>
          </w:p>
        </w:tc>
        <w:tc>
          <w:tcPr>
            <w:tcW w:type="dxa" w:w="2608"/>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Résultat / responsabilité</w:t>
            </w:r>
          </w:p>
        </w:tc>
        <w:tc>
          <w:tcPr>
            <w:tcW w:type="dxa" w:w="4592"/>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Réalisation et périmètre</w:t>
            </w:r>
          </w:p>
        </w:tc>
      </w:tr>
      <w:tr>
        <w:trPr>
          <w:cantSplit/>
        </w:trPr>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CAP001 — Tenir le référentiel opérationnel des articles</w:t>
            </w:r>
          </w:p>
        </w:tc>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Articles achetables/vendables/stockables, grain SKU.</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 xml:space="preserve">À inventorier. Dans le périmètre. </w:t>
            </w:r>
            <w:r>
              <w:rPr>
                <w:rFonts w:ascii="Noto Sans" w:hAnsi="Noto Sans"/>
                <w:b w:val="0"/>
                <w:i w:val="0"/>
                <w:color w:val="173247"/>
                <w:sz w:val="18"/>
              </w:rPr>
              <w:t>[</w:t>
            </w:r>
            <w:r>
              <w:rPr>
                <w:rFonts w:ascii="Noto Sans" w:hAnsi="Noto Sans"/>
                <w:b w:val="0"/>
                <w:i w:val="0"/>
                <w:color w:val="173247"/>
                <w:sz w:val="18"/>
              </w:rPr>
              <w:t>U01;U02;U06;P29]</w:t>
            </w:r>
          </w:p>
        </w:tc>
      </w:tr>
      <w:tr>
        <w:trPr>
          <w:cantSplit/>
        </w:trPr>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CAP002 — Tenir les référentiels des partenaires et lieux</w:t>
            </w:r>
          </w:p>
        </w:tc>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Fournisseurs, clients B2B, magasins, entrepôts ; responsabilités à qualifier.</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 xml:space="preserve">Zoho contribue au CRM ; autorité non établie. Dans le périmètre. </w:t>
            </w:r>
            <w:r>
              <w:rPr>
                <w:rFonts w:ascii="Noto Sans" w:hAnsi="Noto Sans"/>
                <w:b w:val="0"/>
                <w:i w:val="0"/>
                <w:color w:val="173247"/>
                <w:sz w:val="18"/>
              </w:rPr>
              <w:t>[</w:t>
            </w:r>
            <w:r>
              <w:rPr>
                <w:rFonts w:ascii="Noto Sans" w:hAnsi="Noto Sans"/>
                <w:b w:val="0"/>
                <w:i w:val="0"/>
                <w:color w:val="173247"/>
                <w:sz w:val="18"/>
              </w:rPr>
              <w:t>U01;U03;P29]</w:t>
            </w:r>
          </w:p>
        </w:tc>
      </w:tr>
      <w:tr>
        <w:trPr>
          <w:cantSplit/>
        </w:trPr>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CAP003 — Tenir les conditions commerciales applicables</w:t>
            </w:r>
          </w:p>
        </w:tc>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Prix et conditions utiles aux opérations, frontière à préciser.</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 xml:space="preserve">À inventorier. Dans le périmètre à délimiter. </w:t>
            </w:r>
            <w:r>
              <w:rPr>
                <w:rFonts w:ascii="Noto Sans" w:hAnsi="Noto Sans"/>
                <w:b w:val="0"/>
                <w:i w:val="0"/>
                <w:color w:val="173247"/>
                <w:sz w:val="18"/>
              </w:rPr>
              <w:t>[</w:t>
            </w:r>
            <w:r>
              <w:rPr>
                <w:rFonts w:ascii="Noto Sans" w:hAnsi="Noto Sans"/>
                <w:b w:val="0"/>
                <w:i w:val="0"/>
                <w:color w:val="173247"/>
                <w:sz w:val="18"/>
              </w:rPr>
              <w:t>P29;P53]</w:t>
            </w:r>
          </w:p>
        </w:tc>
      </w:tr>
      <w:tr>
        <w:trPr>
          <w:cantSplit/>
        </w:trPr>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CAP004 — Tenir les états du stock magasin</w:t>
            </w:r>
          </w:p>
        </w:tc>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État et mouvements dont le magasin/la marque répond.</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 xml:space="preserve">Storeland. Dans le périmètre. </w:t>
            </w:r>
            <w:r>
              <w:rPr>
                <w:rFonts w:ascii="Noto Sans" w:hAnsi="Noto Sans"/>
                <w:b w:val="0"/>
                <w:i w:val="0"/>
                <w:color w:val="173247"/>
                <w:sz w:val="18"/>
              </w:rPr>
              <w:t>[</w:t>
            </w:r>
            <w:r>
              <w:rPr>
                <w:rFonts w:ascii="Noto Sans" w:hAnsi="Noto Sans"/>
                <w:b w:val="0"/>
                <w:i w:val="0"/>
                <w:color w:val="173247"/>
                <w:sz w:val="18"/>
              </w:rPr>
              <w:t>U03;U04]</w:t>
            </w:r>
          </w:p>
        </w:tc>
      </w:tr>
      <w:tr>
        <w:trPr>
          <w:cantSplit/>
        </w:trPr>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CAP005 — Rendre les stocks visibles</w:t>
            </w:r>
          </w:p>
        </w:tc>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Partager une représentation du stock avec sa provenance et fraîcheur.</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 xml:space="preserve">Storeland/UR/Talend contribuent. Dans le périmètre. </w:t>
            </w:r>
            <w:r>
              <w:rPr>
                <w:rFonts w:ascii="Noto Sans" w:hAnsi="Noto Sans"/>
                <w:b w:val="0"/>
                <w:i w:val="0"/>
                <w:color w:val="173247"/>
                <w:sz w:val="18"/>
              </w:rPr>
              <w:t>[</w:t>
            </w:r>
            <w:r>
              <w:rPr>
                <w:rFonts w:ascii="Noto Sans" w:hAnsi="Noto Sans"/>
                <w:b w:val="0"/>
                <w:i w:val="0"/>
                <w:color w:val="173247"/>
                <w:sz w:val="18"/>
              </w:rPr>
              <w:t>U03;P27]</w:t>
            </w:r>
          </w:p>
        </w:tc>
      </w:tr>
      <w:tr>
        <w:trPr>
          <w:cantSplit/>
        </w:trPr>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CAP006 — Déterminer la disponibilité utilisable</w:t>
            </w:r>
          </w:p>
        </w:tc>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Calculer ce qui peut être proposé compte tenu des états et contraintes.</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 xml:space="preserve">Répartition à établir. Dans le périmètre. </w:t>
            </w:r>
            <w:r>
              <w:rPr>
                <w:rFonts w:ascii="Noto Sans" w:hAnsi="Noto Sans"/>
                <w:b w:val="0"/>
                <w:i w:val="0"/>
                <w:color w:val="173247"/>
                <w:sz w:val="18"/>
              </w:rPr>
              <w:t>[</w:t>
            </w:r>
            <w:r>
              <w:rPr>
                <w:rFonts w:ascii="Noto Sans" w:hAnsi="Noto Sans"/>
                <w:b w:val="0"/>
                <w:i w:val="0"/>
                <w:color w:val="173247"/>
                <w:sz w:val="18"/>
              </w:rPr>
              <w:t>U04;U10;P27]</w:t>
            </w:r>
          </w:p>
        </w:tc>
      </w:tr>
      <w:tr>
        <w:trPr>
          <w:cantSplit/>
        </w:trPr>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CAP007 — Définir les protections de stock</w:t>
            </w:r>
          </w:p>
        </w:tc>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Définir seuils/volumes logiques par marque et canal.</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 xml:space="preserve">MAP calcule ; application opérationnelle inconnue. Frontière planification/opération à positionner. </w:t>
            </w:r>
            <w:r>
              <w:rPr>
                <w:rFonts w:ascii="Noto Sans" w:hAnsi="Noto Sans"/>
                <w:b w:val="0"/>
                <w:i w:val="0"/>
                <w:color w:val="173247"/>
                <w:sz w:val="18"/>
              </w:rPr>
              <w:t>[</w:t>
            </w:r>
            <w:r>
              <w:rPr>
                <w:rFonts w:ascii="Noto Sans" w:hAnsi="Noto Sans"/>
                <w:b w:val="0"/>
                <w:i w:val="0"/>
                <w:color w:val="173247"/>
                <w:sz w:val="18"/>
              </w:rPr>
              <w:t>U10]</w:t>
            </w:r>
          </w:p>
        </w:tc>
      </w:tr>
      <w:tr>
        <w:trPr>
          <w:cantSplit/>
        </w:trPr>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CAP008 — Tenir les protections applicables</w:t>
            </w:r>
          </w:p>
        </w:tc>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Porter la version de politique effectivement en vigueur.</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 xml:space="preserve">Autorité non établie. Candidat analytique nouveau à valider. </w:t>
            </w:r>
            <w:r>
              <w:rPr>
                <w:rFonts w:ascii="Noto Sans" w:hAnsi="Noto Sans"/>
                <w:b w:val="0"/>
                <w:i w:val="0"/>
                <w:color w:val="173247"/>
                <w:sz w:val="18"/>
              </w:rPr>
              <w:t>[</w:t>
            </w:r>
            <w:r>
              <w:rPr>
                <w:rFonts w:ascii="Noto Sans" w:hAnsi="Noto Sans"/>
                <w:b w:val="0"/>
                <w:i w:val="0"/>
                <w:color w:val="173247"/>
                <w:sz w:val="18"/>
              </w:rPr>
              <w:t>U07;U09;U10;P50]</w:t>
            </w:r>
          </w:p>
        </w:tc>
      </w:tr>
      <w:tr>
        <w:trPr>
          <w:cantSplit/>
        </w:trPr>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CAP009 — Réviser les paramètres d’allocation</w:t>
            </w:r>
          </w:p>
        </w:tc>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Recalculer après aléa amont et republier une nouvelle politique.</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 xml:space="preserve">MAP. Frontière à positionner. </w:t>
            </w:r>
            <w:r>
              <w:rPr>
                <w:rFonts w:ascii="Noto Sans" w:hAnsi="Noto Sans"/>
                <w:b w:val="0"/>
                <w:i w:val="0"/>
                <w:color w:val="173247"/>
                <w:sz w:val="18"/>
              </w:rPr>
              <w:t>[</w:t>
            </w:r>
            <w:r>
              <w:rPr>
                <w:rFonts w:ascii="Noto Sans" w:hAnsi="Noto Sans"/>
                <w:b w:val="0"/>
                <w:i w:val="0"/>
                <w:color w:val="173247"/>
                <w:sz w:val="18"/>
              </w:rPr>
              <w:t>U10]</w:t>
            </w:r>
          </w:p>
        </w:tc>
      </w:tr>
      <w:tr>
        <w:trPr>
          <w:cantSplit/>
        </w:trPr>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CAP010 — Gérer les engagements sur le stock</w:t>
            </w:r>
          </w:p>
        </w:tc>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Réserver, affecter, confirmer et libérer les quantités.</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 xml:space="preserve">Répartition à établir. Dans le périmètre. </w:t>
            </w:r>
            <w:r>
              <w:rPr>
                <w:rFonts w:ascii="Noto Sans" w:hAnsi="Noto Sans"/>
                <w:b w:val="0"/>
                <w:i w:val="0"/>
                <w:color w:val="173247"/>
                <w:sz w:val="18"/>
              </w:rPr>
              <w:t>[</w:t>
            </w:r>
            <w:r>
              <w:rPr>
                <w:rFonts w:ascii="Noto Sans" w:hAnsi="Noto Sans"/>
                <w:b w:val="0"/>
                <w:i w:val="0"/>
                <w:color w:val="173247"/>
                <w:sz w:val="18"/>
              </w:rPr>
              <w:t>P27;P45]</w:t>
            </w:r>
          </w:p>
        </w:tc>
      </w:tr>
    </w:tbl>
    <w:p>
      <w:pPr>
        <w:pStyle w:val="Heading2"/>
        <w:keepNext/>
      </w:pPr>
      <w:r>
        <w:rPr>
          <w:b w:val="0"/>
          <w:i w:val="0"/>
        </w:rPr>
        <w:t>Réassort, ventes et prise en charge</w:t>
      </w:r>
    </w:p>
    <w:tbl>
      <w:tblPr>
        <w:tblStyle w:val="TableGrid"/>
        <w:tblW w:type="auto" w:w="0"/>
        <w:jc w:val="center"/>
        <w:tblLayout w:type="fixed"/>
        <w:tblLook w:firstColumn="1" w:firstRow="1" w:lastColumn="0" w:lastRow="0" w:noHBand="0" w:noVBand="1" w:val="04A0"/>
        <w:tblBorders>
          <w:top w:val="single" w:sz="4" w:color="D8E2E7"/>
          <w:left w:val="single" w:sz="4" w:color="D8E2E7"/>
          <w:bottom w:val="single" w:sz="4" w:color="D8E2E7"/>
          <w:right w:val="single" w:sz="4" w:color="D8E2E7"/>
          <w:insideH w:val="single" w:sz="4" w:color="D8E2E7"/>
          <w:insideV w:val="single" w:sz="4" w:color="D8E2E7"/>
        </w:tblBorders>
      </w:tblPr>
      <w:tblGrid>
        <w:gridCol w:w="2608"/>
        <w:gridCol w:w="2608"/>
        <w:gridCol w:w="4592"/>
      </w:tblGrid>
      <w:tr>
        <w:trPr>
          <w:cantSplit/>
          <w:tblHeader w:val="true"/>
        </w:trPr>
        <w:tc>
          <w:tcPr>
            <w:tcW w:type="dxa" w:w="2608"/>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Candidat</w:t>
            </w:r>
          </w:p>
        </w:tc>
        <w:tc>
          <w:tcPr>
            <w:tcW w:type="dxa" w:w="2608"/>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Résultat / responsabilité</w:t>
            </w:r>
          </w:p>
        </w:tc>
        <w:tc>
          <w:tcPr>
            <w:tcW w:type="dxa" w:w="4592"/>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Réalisation et périmètre</w:t>
            </w:r>
          </w:p>
        </w:tc>
      </w:tr>
      <w:tr>
        <w:trPr>
          <w:cantSplit/>
        </w:trPr>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CAP011 — Déterminer les paramètres de réassort</w:t>
            </w:r>
          </w:p>
        </w:tc>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Calculer stocks optimaux et seuils magasin.</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 xml:space="preserve">IRMA ; transition SCORTEX. Inclusion opérationnelle proposée. </w:t>
            </w:r>
            <w:r>
              <w:rPr>
                <w:rFonts w:ascii="Noto Sans" w:hAnsi="Noto Sans"/>
                <w:b w:val="0"/>
                <w:i w:val="0"/>
                <w:color w:val="173247"/>
                <w:sz w:val="18"/>
              </w:rPr>
              <w:t>[</w:t>
            </w:r>
            <w:r>
              <w:rPr>
                <w:rFonts w:ascii="Noto Sans" w:hAnsi="Noto Sans"/>
                <w:b w:val="0"/>
                <w:i w:val="0"/>
                <w:color w:val="173247"/>
                <w:sz w:val="18"/>
              </w:rPr>
              <w:t>U06;P37]</w:t>
            </w:r>
          </w:p>
        </w:tc>
      </w:tr>
      <w:tr>
        <w:trPr>
          <w:cantSplit/>
        </w:trPr>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CAP012 — Tenir les paramètres de réassort applicables</w:t>
            </w:r>
          </w:p>
        </w:tc>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Conserver seuils de référence et périmètre/validité.</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 xml:space="preserve">IRMA déclaré référence. Dans le périmètre proposé. </w:t>
            </w:r>
            <w:r>
              <w:rPr>
                <w:rFonts w:ascii="Noto Sans" w:hAnsi="Noto Sans"/>
                <w:b w:val="0"/>
                <w:i w:val="0"/>
                <w:color w:val="173247"/>
                <w:sz w:val="18"/>
              </w:rPr>
              <w:t>[</w:t>
            </w:r>
            <w:r>
              <w:rPr>
                <w:rFonts w:ascii="Noto Sans" w:hAnsi="Noto Sans"/>
                <w:b w:val="0"/>
                <w:i w:val="0"/>
                <w:color w:val="173247"/>
                <w:sz w:val="18"/>
              </w:rPr>
              <w:t>U06;P48]</w:t>
            </w:r>
          </w:p>
        </w:tc>
      </w:tr>
      <w:tr>
        <w:trPr>
          <w:cantSplit/>
        </w:trPr>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CAP013 — Déclencher l’approvisionnement magasin</w:t>
            </w:r>
          </w:p>
        </w:tc>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Détecter le seuil et lancer une demande.</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 xml:space="preserve">Storeland. Dans le périmètre. </w:t>
            </w:r>
            <w:r>
              <w:rPr>
                <w:rFonts w:ascii="Noto Sans" w:hAnsi="Noto Sans"/>
                <w:b w:val="0"/>
                <w:i w:val="0"/>
                <w:color w:val="173247"/>
                <w:sz w:val="18"/>
              </w:rPr>
              <w:t>[</w:t>
            </w:r>
            <w:r>
              <w:rPr>
                <w:rFonts w:ascii="Noto Sans" w:hAnsi="Noto Sans"/>
                <w:b w:val="0"/>
                <w:i w:val="0"/>
                <w:color w:val="173247"/>
                <w:sz w:val="18"/>
              </w:rPr>
              <w:t>U06]</w:t>
            </w:r>
          </w:p>
        </w:tc>
      </w:tr>
      <w:tr>
        <w:trPr>
          <w:cantSplit/>
        </w:trPr>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CAP014 — Prendre en charge les commandes clients</w:t>
            </w:r>
          </w:p>
        </w:tc>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Saisir et maintenir les engagements commerciaux, indépendamment des tentatives d’exécution.</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 xml:space="preserve">POS/sites/Elastic ; autorité à établir. Dans le périmètre. </w:t>
            </w:r>
            <w:r>
              <w:rPr>
                <w:rFonts w:ascii="Noto Sans" w:hAnsi="Noto Sans"/>
                <w:b w:val="0"/>
                <w:i w:val="0"/>
                <w:color w:val="173247"/>
                <w:sz w:val="18"/>
              </w:rPr>
              <w:t>[</w:t>
            </w:r>
            <w:r>
              <w:rPr>
                <w:rFonts w:ascii="Noto Sans" w:hAnsi="Noto Sans"/>
                <w:b w:val="0"/>
                <w:i w:val="0"/>
                <w:color w:val="173247"/>
                <w:sz w:val="18"/>
              </w:rPr>
              <w:t>U03-U05]</w:t>
            </w:r>
          </w:p>
        </w:tc>
      </w:tr>
      <w:tr>
        <w:trPr>
          <w:cantSplit/>
        </w:trPr>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CAP015 — Qualifier les services rendus par les sites</w:t>
            </w:r>
          </w:p>
        </w:tc>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Participation SFS et aptitude des sites aux prestations.</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 xml:space="preserve">Référentiels à identifier. Commerce + frontière logistique. </w:t>
            </w:r>
            <w:r>
              <w:rPr>
                <w:rFonts w:ascii="Noto Sans" w:hAnsi="Noto Sans"/>
                <w:b w:val="0"/>
                <w:i w:val="0"/>
                <w:color w:val="173247"/>
                <w:sz w:val="18"/>
              </w:rPr>
              <w:t>[</w:t>
            </w:r>
            <w:r>
              <w:rPr>
                <w:rFonts w:ascii="Noto Sans" w:hAnsi="Noto Sans"/>
                <w:b w:val="0"/>
                <w:i w:val="0"/>
                <w:color w:val="173247"/>
                <w:sz w:val="18"/>
              </w:rPr>
              <w:t>U04;U06;P42]</w:t>
            </w:r>
          </w:p>
        </w:tc>
      </w:tr>
      <w:tr>
        <w:trPr>
          <w:cantSplit/>
        </w:trPr>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CAP016 — Gérer la charge et les quotas d’exécution</w:t>
            </w:r>
          </w:p>
        </w:tc>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Définir/appliquer quotas et disponibilité de service.</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 xml:space="preserve">Magasins ; responsables/applications non établis. Dans le périmètre proposé. </w:t>
            </w:r>
            <w:r>
              <w:rPr>
                <w:rFonts w:ascii="Noto Sans" w:hAnsi="Noto Sans"/>
                <w:b w:val="0"/>
                <w:i w:val="0"/>
                <w:color w:val="173247"/>
                <w:sz w:val="18"/>
              </w:rPr>
              <w:t>[</w:t>
            </w:r>
            <w:r>
              <w:rPr>
                <w:rFonts w:ascii="Noto Sans" w:hAnsi="Noto Sans"/>
                <w:b w:val="0"/>
                <w:i w:val="0"/>
                <w:color w:val="173247"/>
                <w:sz w:val="18"/>
              </w:rPr>
              <w:t>U04;P34]</w:t>
            </w:r>
          </w:p>
        </w:tc>
      </w:tr>
      <w:tr>
        <w:trPr>
          <w:cantSplit/>
        </w:trPr>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CAP017 — Choisir l’origine de prise en charge</w:t>
            </w:r>
          </w:p>
        </w:tc>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Prioriser entrepôt/magasin et classer les candidats.</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 xml:space="preserve">Chaîne commerce + choix C-Log. Frontière de décision centrale à explorer. </w:t>
            </w:r>
            <w:r>
              <w:rPr>
                <w:rFonts w:ascii="Noto Sans" w:hAnsi="Noto Sans"/>
                <w:b w:val="0"/>
                <w:i w:val="0"/>
                <w:color w:val="173247"/>
                <w:sz w:val="18"/>
              </w:rPr>
              <w:t>[</w:t>
            </w:r>
            <w:r>
              <w:rPr>
                <w:rFonts w:ascii="Noto Sans" w:hAnsi="Noto Sans"/>
                <w:b w:val="0"/>
                <w:i w:val="0"/>
                <w:color w:val="173247"/>
                <w:sz w:val="18"/>
              </w:rPr>
              <w:t>U04;U07]</w:t>
            </w:r>
          </w:p>
        </w:tc>
      </w:tr>
      <w:tr>
        <w:trPr>
          <w:cantSplit/>
        </w:trPr>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CAP018 — Gérer les demandes d’exécution magasin</w:t>
            </w:r>
          </w:p>
        </w:tc>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Solliciter, accepter, refuser, expirer, annuler et reprendre.</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 xml:space="preserve">Socloz contribue ; répartition détaillée inconnue. Dans le périmètre. </w:t>
            </w:r>
            <w:r>
              <w:rPr>
                <w:rFonts w:ascii="Noto Sans" w:hAnsi="Noto Sans"/>
                <w:b w:val="0"/>
                <w:i w:val="0"/>
                <w:color w:val="173247"/>
                <w:sz w:val="18"/>
              </w:rPr>
              <w:t>[</w:t>
            </w:r>
            <w:r>
              <w:rPr>
                <w:rFonts w:ascii="Noto Sans" w:hAnsi="Noto Sans"/>
                <w:b w:val="0"/>
                <w:i w:val="0"/>
                <w:color w:val="173247"/>
                <w:sz w:val="18"/>
              </w:rPr>
              <w:t>U03-U05]</w:t>
            </w:r>
          </w:p>
        </w:tc>
      </w:tr>
      <w:tr>
        <w:trPr>
          <w:cantSplit/>
        </w:trPr>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CAP019 — Piloter la résolution d’une non-prise en charge</w:t>
            </w:r>
          </w:p>
        </w:tc>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Alerter et coordonner les actions humaines.</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 xml:space="preserve">Responsable commercial + chaîne SFS. Dans le périmètre. </w:t>
            </w:r>
            <w:r>
              <w:rPr>
                <w:rFonts w:ascii="Noto Sans" w:hAnsi="Noto Sans"/>
                <w:b w:val="0"/>
                <w:i w:val="0"/>
                <w:color w:val="173247"/>
                <w:sz w:val="18"/>
              </w:rPr>
              <w:t>[</w:t>
            </w:r>
            <w:r>
              <w:rPr>
                <w:rFonts w:ascii="Noto Sans" w:hAnsi="Noto Sans"/>
                <w:b w:val="0"/>
                <w:i w:val="0"/>
                <w:color w:val="173247"/>
                <w:sz w:val="18"/>
              </w:rPr>
              <w:t>U04;P35]</w:t>
            </w:r>
          </w:p>
        </w:tc>
      </w:tr>
      <w:tr>
        <w:trPr>
          <w:cantSplit/>
        </w:trPr>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CAP020 — Demander une prestation logistique</w:t>
            </w:r>
          </w:p>
        </w:tc>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Exprimer articles, destinataire, finalité et prestations requises.</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 xml:space="preserve">EDI vers C-Log. Interface au périmètre. </w:t>
            </w:r>
            <w:r>
              <w:rPr>
                <w:rFonts w:ascii="Noto Sans" w:hAnsi="Noto Sans"/>
                <w:b w:val="0"/>
                <w:i w:val="0"/>
                <w:color w:val="173247"/>
                <w:sz w:val="18"/>
              </w:rPr>
              <w:t>[</w:t>
            </w:r>
            <w:r>
              <w:rPr>
                <w:rFonts w:ascii="Noto Sans" w:hAnsi="Noto Sans"/>
                <w:b w:val="0"/>
                <w:i w:val="0"/>
                <w:color w:val="173247"/>
                <w:sz w:val="18"/>
              </w:rPr>
              <w:t>U06;P38]</w:t>
            </w:r>
          </w:p>
        </w:tc>
      </w:tr>
    </w:tbl>
    <w:p>
      <w:pPr>
        <w:pStyle w:val="Heading2"/>
        <w:keepNext/>
      </w:pPr>
      <w:r>
        <w:rPr>
          <w:b w:val="0"/>
          <w:i w:val="0"/>
        </w:rPr>
        <w:t>Frontière logistique, planification et achats</w:t>
      </w:r>
    </w:p>
    <w:tbl>
      <w:tblPr>
        <w:tblStyle w:val="TableGrid"/>
        <w:tblW w:type="auto" w:w="0"/>
        <w:jc w:val="center"/>
        <w:tblLayout w:type="fixed"/>
        <w:tblLook w:firstColumn="1" w:firstRow="1" w:lastColumn="0" w:lastRow="0" w:noHBand="0" w:noVBand="1" w:val="04A0"/>
        <w:tblBorders>
          <w:top w:val="single" w:sz="4" w:color="D8E2E7"/>
          <w:left w:val="single" w:sz="4" w:color="D8E2E7"/>
          <w:bottom w:val="single" w:sz="4" w:color="D8E2E7"/>
          <w:right w:val="single" w:sz="4" w:color="D8E2E7"/>
          <w:insideH w:val="single" w:sz="4" w:color="D8E2E7"/>
          <w:insideV w:val="single" w:sz="4" w:color="D8E2E7"/>
        </w:tblBorders>
      </w:tblPr>
      <w:tblGrid>
        <w:gridCol w:w="2608"/>
        <w:gridCol w:w="2608"/>
        <w:gridCol w:w="4592"/>
      </w:tblGrid>
      <w:tr>
        <w:trPr>
          <w:cantSplit/>
          <w:tblHeader w:val="true"/>
        </w:trPr>
        <w:tc>
          <w:tcPr>
            <w:tcW w:type="dxa" w:w="2608"/>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Candidat</w:t>
            </w:r>
          </w:p>
        </w:tc>
        <w:tc>
          <w:tcPr>
            <w:tcW w:type="dxa" w:w="2608"/>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Résultat / responsabilité</w:t>
            </w:r>
          </w:p>
        </w:tc>
        <w:tc>
          <w:tcPr>
            <w:tcW w:type="dxa" w:w="4592"/>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Réalisation et périmètre</w:t>
            </w:r>
          </w:p>
        </w:tc>
      </w:tr>
      <w:tr>
        <w:trPr>
          <w:cantSplit/>
        </w:trPr>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CAP021 — Déterminer le parcours logistique</w:t>
            </w:r>
          </w:p>
        </w:tc>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Choisir entrepôt(s), éventuellement transfert préalable.</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 xml:space="preserve">Crossroad/KBRW. Externe : frontière, pas absorption. </w:t>
            </w:r>
            <w:r>
              <w:rPr>
                <w:rFonts w:ascii="Noto Sans" w:hAnsi="Noto Sans"/>
                <w:b w:val="0"/>
                <w:i w:val="0"/>
                <w:color w:val="173247"/>
                <w:sz w:val="18"/>
              </w:rPr>
              <w:t>[</w:t>
            </w:r>
            <w:r>
              <w:rPr>
                <w:rFonts w:ascii="Noto Sans" w:hAnsi="Noto Sans"/>
                <w:b w:val="0"/>
                <w:i w:val="0"/>
                <w:color w:val="173247"/>
                <w:sz w:val="18"/>
              </w:rPr>
              <w:t>U06;U07]</w:t>
            </w:r>
          </w:p>
        </w:tc>
      </w:tr>
      <w:tr>
        <w:trPr>
          <w:cantSplit/>
        </w:trPr>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CAP022 — Organiser le transport aval</w:t>
            </w:r>
          </w:p>
        </w:tc>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Choisir transporteur et acheminement.</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 xml:space="preserve">Crossroad pour choix décrit. Externe : frontière. </w:t>
            </w:r>
            <w:r>
              <w:rPr>
                <w:rFonts w:ascii="Noto Sans" w:hAnsi="Noto Sans"/>
                <w:b w:val="0"/>
                <w:i w:val="0"/>
                <w:color w:val="173247"/>
                <w:sz w:val="18"/>
              </w:rPr>
              <w:t>[</w:t>
            </w:r>
            <w:r>
              <w:rPr>
                <w:rFonts w:ascii="Noto Sans" w:hAnsi="Noto Sans"/>
                <w:b w:val="0"/>
                <w:i w:val="0"/>
                <w:color w:val="173247"/>
                <w:sz w:val="18"/>
              </w:rPr>
              <w:t>U04;U06;U07]</w:t>
            </w:r>
          </w:p>
        </w:tc>
      </w:tr>
      <w:tr>
        <w:trPr>
          <w:cantSplit/>
        </w:trPr>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CAP023 — Piloter l’exécution logistique</w:t>
            </w:r>
          </w:p>
        </w:tc>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Suivre opérations et résultats du parcours.</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 xml:space="preserve">Crossroad. Externe : frontière. </w:t>
            </w:r>
            <w:r>
              <w:rPr>
                <w:rFonts w:ascii="Noto Sans" w:hAnsi="Noto Sans"/>
                <w:b w:val="0"/>
                <w:i w:val="0"/>
                <w:color w:val="173247"/>
                <w:sz w:val="18"/>
              </w:rPr>
              <w:t>[</w:t>
            </w:r>
            <w:r>
              <w:rPr>
                <w:rFonts w:ascii="Noto Sans" w:hAnsi="Noto Sans"/>
                <w:b w:val="0"/>
                <w:i w:val="0"/>
                <w:color w:val="173247"/>
                <w:sz w:val="18"/>
              </w:rPr>
              <w:t>U06;U07]</w:t>
            </w:r>
          </w:p>
        </w:tc>
      </w:tr>
      <w:tr>
        <w:trPr>
          <w:cantSplit/>
        </w:trPr>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CAP024 — Réaliser préparation et prestations entrepôt</w:t>
            </w:r>
          </w:p>
        </w:tc>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Picking, light-touch, packing, shipping.</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 xml:space="preserve">Équipes/sites et outils non inventoriés. Externe : ne pas détailler le SI C-Log. </w:t>
            </w:r>
            <w:r>
              <w:rPr>
                <w:rFonts w:ascii="Noto Sans" w:hAnsi="Noto Sans"/>
                <w:b w:val="0"/>
                <w:i w:val="0"/>
                <w:color w:val="173247"/>
                <w:sz w:val="18"/>
              </w:rPr>
              <w:t>[</w:t>
            </w:r>
            <w:r>
              <w:rPr>
                <w:rFonts w:ascii="Noto Sans" w:hAnsi="Noto Sans"/>
                <w:b w:val="0"/>
                <w:i w:val="0"/>
                <w:color w:val="173247"/>
                <w:sz w:val="18"/>
              </w:rPr>
              <w:t>U06;U07]</w:t>
            </w:r>
          </w:p>
        </w:tc>
      </w:tr>
      <w:tr>
        <w:trPr>
          <w:cantSplit/>
        </w:trPr>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CAP025 — Résoudre un incident logistique</w:t>
            </w:r>
          </w:p>
        </w:tc>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Reprendre une demande en échec et informer les parties.</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 xml:space="preserve">File d’erreur puis intervenants. Frontière. </w:t>
            </w:r>
            <w:r>
              <w:rPr>
                <w:rFonts w:ascii="Noto Sans" w:hAnsi="Noto Sans"/>
                <w:b w:val="0"/>
                <w:i w:val="0"/>
                <w:color w:val="173247"/>
                <w:sz w:val="18"/>
              </w:rPr>
              <w:t>[</w:t>
            </w:r>
            <w:r>
              <w:rPr>
                <w:rFonts w:ascii="Noto Sans" w:hAnsi="Noto Sans"/>
                <w:b w:val="0"/>
                <w:i w:val="0"/>
                <w:color w:val="173247"/>
                <w:sz w:val="18"/>
              </w:rPr>
              <w:t>U06]</w:t>
            </w:r>
          </w:p>
        </w:tc>
      </w:tr>
      <w:tr>
        <w:trPr>
          <w:cantSplit/>
        </w:trPr>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CAP026 — Prévoir les ventes</w:t>
            </w:r>
          </w:p>
        </w:tc>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Prévisions marque/modèle/couleur/taille et canal.</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 xml:space="preserve">MAP. Contexte amont ; hors refonte implicite. </w:t>
            </w:r>
            <w:r>
              <w:rPr>
                <w:rFonts w:ascii="Noto Sans" w:hAnsi="Noto Sans"/>
                <w:b w:val="0"/>
                <w:i w:val="0"/>
                <w:color w:val="173247"/>
                <w:sz w:val="18"/>
              </w:rPr>
              <w:t>[</w:t>
            </w:r>
            <w:r>
              <w:rPr>
                <w:rFonts w:ascii="Noto Sans" w:hAnsi="Noto Sans"/>
                <w:b w:val="0"/>
                <w:i w:val="0"/>
                <w:color w:val="173247"/>
                <w:sz w:val="18"/>
              </w:rPr>
              <w:t>U01;U10]</w:t>
            </w:r>
          </w:p>
        </w:tc>
      </w:tr>
      <w:tr>
        <w:trPr>
          <w:cantSplit/>
        </w:trPr>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CAP027 — Anticiper les besoins de stockage</w:t>
            </w:r>
          </w:p>
        </w:tc>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Préparer les besoins de stockage transmis à C-Log.</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 xml:space="preserve">MAP. Contexte/interface à positionner. </w:t>
            </w:r>
            <w:r>
              <w:rPr>
                <w:rFonts w:ascii="Noto Sans" w:hAnsi="Noto Sans"/>
                <w:b w:val="0"/>
                <w:i w:val="0"/>
                <w:color w:val="173247"/>
                <w:sz w:val="18"/>
              </w:rPr>
              <w:t>[</w:t>
            </w:r>
            <w:r>
              <w:rPr>
                <w:rFonts w:ascii="Noto Sans" w:hAnsi="Noto Sans"/>
                <w:b w:val="0"/>
                <w:i w:val="0"/>
                <w:color w:val="173247"/>
                <w:sz w:val="18"/>
              </w:rPr>
              <w:t>U10]</w:t>
            </w:r>
          </w:p>
        </w:tc>
      </w:tr>
      <w:tr>
        <w:trPr>
          <w:cantSplit/>
        </w:trPr>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CAP028 — Planifier et lotir les besoins d’achat</w:t>
            </w:r>
          </w:p>
        </w:tc>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Organiser les demandes fournisseurs et lotissements.</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 xml:space="preserve">MAP. Frontière amont/opération. </w:t>
            </w:r>
            <w:r>
              <w:rPr>
                <w:rFonts w:ascii="Noto Sans" w:hAnsi="Noto Sans"/>
                <w:b w:val="0"/>
                <w:i w:val="0"/>
                <w:color w:val="173247"/>
                <w:sz w:val="18"/>
              </w:rPr>
              <w:t>[</w:t>
            </w:r>
            <w:r>
              <w:rPr>
                <w:rFonts w:ascii="Noto Sans" w:hAnsi="Noto Sans"/>
                <w:b w:val="0"/>
                <w:i w:val="0"/>
                <w:color w:val="173247"/>
                <w:sz w:val="18"/>
              </w:rPr>
              <w:t>U10]</w:t>
            </w:r>
          </w:p>
        </w:tc>
      </w:tr>
      <w:tr>
        <w:trPr>
          <w:cantSplit/>
        </w:trPr>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CAP029 — Émettre une demande d’achat fournisseur</w:t>
            </w:r>
          </w:p>
        </w:tc>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Produire la demande ; engagement ferme distinct à instruire.</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 xml:space="preserve">MAP. Dans le périmètre opérationnel à qualifier. </w:t>
            </w:r>
            <w:r>
              <w:rPr>
                <w:rFonts w:ascii="Noto Sans" w:hAnsi="Noto Sans"/>
                <w:b w:val="0"/>
                <w:i w:val="0"/>
                <w:color w:val="173247"/>
                <w:sz w:val="18"/>
              </w:rPr>
              <w:t>[</w:t>
            </w:r>
            <w:r>
              <w:rPr>
                <w:rFonts w:ascii="Noto Sans" w:hAnsi="Noto Sans"/>
                <w:b w:val="0"/>
                <w:i w:val="0"/>
                <w:color w:val="173247"/>
                <w:sz w:val="18"/>
              </w:rPr>
              <w:t>U10]</w:t>
            </w:r>
          </w:p>
        </w:tc>
      </w:tr>
    </w:tbl>
    <w:p>
      <w:pPr>
        <w:pStyle w:val="Heading2"/>
        <w:keepNext/>
      </w:pPr>
      <w:r>
        <w:rPr>
          <w:b w:val="0"/>
          <w:i w:val="0"/>
        </w:rPr>
        <w:t>Suivi fournisseur, SAV et arbitrages</w:t>
      </w:r>
    </w:p>
    <w:tbl>
      <w:tblPr>
        <w:tblStyle w:val="TableGrid"/>
        <w:tblW w:type="auto" w:w="0"/>
        <w:jc w:val="center"/>
        <w:tblLayout w:type="fixed"/>
        <w:tblLook w:firstColumn="1" w:firstRow="1" w:lastColumn="0" w:lastRow="0" w:noHBand="0" w:noVBand="1" w:val="04A0"/>
        <w:tblBorders>
          <w:top w:val="single" w:sz="4" w:color="D8E2E7"/>
          <w:left w:val="single" w:sz="4" w:color="D8E2E7"/>
          <w:bottom w:val="single" w:sz="4" w:color="D8E2E7"/>
          <w:right w:val="single" w:sz="4" w:color="D8E2E7"/>
          <w:insideH w:val="single" w:sz="4" w:color="D8E2E7"/>
          <w:insideV w:val="single" w:sz="4" w:color="D8E2E7"/>
        </w:tblBorders>
      </w:tblPr>
      <w:tblGrid>
        <w:gridCol w:w="2608"/>
        <w:gridCol w:w="2608"/>
        <w:gridCol w:w="4592"/>
      </w:tblGrid>
      <w:tr>
        <w:trPr>
          <w:cantSplit/>
          <w:tblHeader w:val="true"/>
        </w:trPr>
        <w:tc>
          <w:tcPr>
            <w:tcW w:type="dxa" w:w="2608"/>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Candidat</w:t>
            </w:r>
          </w:p>
        </w:tc>
        <w:tc>
          <w:tcPr>
            <w:tcW w:type="dxa" w:w="2608"/>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Résultat / responsabilité</w:t>
            </w:r>
          </w:p>
        </w:tc>
        <w:tc>
          <w:tcPr>
            <w:tcW w:type="dxa" w:w="4592"/>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Réalisation et périmètre</w:t>
            </w:r>
          </w:p>
        </w:tc>
      </w:tr>
      <w:tr>
        <w:trPr>
          <w:cantSplit/>
        </w:trPr>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CAP030 — Suivre la réalisation fournisseur</w:t>
            </w:r>
          </w:p>
        </w:tc>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Suivi fabrication et progression opérationnelle.</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 xml:space="preserve">CBS. Dans le périmètre proposé. </w:t>
            </w:r>
            <w:r>
              <w:rPr>
                <w:rFonts w:ascii="Noto Sans" w:hAnsi="Noto Sans"/>
                <w:b w:val="0"/>
                <w:i w:val="0"/>
                <w:color w:val="173247"/>
                <w:sz w:val="18"/>
              </w:rPr>
              <w:t>[</w:t>
            </w:r>
            <w:r>
              <w:rPr>
                <w:rFonts w:ascii="Noto Sans" w:hAnsi="Noto Sans"/>
                <w:b w:val="0"/>
                <w:i w:val="0"/>
                <w:color w:val="173247"/>
                <w:sz w:val="18"/>
              </w:rPr>
              <w:t>U10]</w:t>
            </w:r>
          </w:p>
        </w:tc>
      </w:tr>
      <w:tr>
        <w:trPr>
          <w:cantSplit/>
        </w:trPr>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CAP031 — Suivre l’acheminement fournisseur</w:t>
            </w:r>
          </w:p>
        </w:tc>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Suivi fournisseur–port/Carrier.</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 xml:space="preserve">CBS. Frontière à délimiter. </w:t>
            </w:r>
            <w:r>
              <w:rPr>
                <w:rFonts w:ascii="Noto Sans" w:hAnsi="Noto Sans"/>
                <w:b w:val="0"/>
                <w:i w:val="0"/>
                <w:color w:val="173247"/>
                <w:sz w:val="18"/>
              </w:rPr>
              <w:t>[</w:t>
            </w:r>
            <w:r>
              <w:rPr>
                <w:rFonts w:ascii="Noto Sans" w:hAnsi="Noto Sans"/>
                <w:b w:val="0"/>
                <w:i w:val="0"/>
                <w:color w:val="173247"/>
                <w:sz w:val="18"/>
              </w:rPr>
              <w:t>U10]</w:t>
            </w:r>
          </w:p>
        </w:tc>
      </w:tr>
      <w:tr>
        <w:trPr>
          <w:cantSplit/>
        </w:trPr>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CAP032 — Suivre les pièces nécessaires aux opérations</w:t>
            </w:r>
          </w:p>
        </w:tc>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Collecter/transmettre/relancer les pièces et états requis.</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 xml:space="preserve">Application achats initiale ; CBS à rapprocher. Opérationnel proposé ; politique conformité exclue. </w:t>
            </w:r>
            <w:r>
              <w:rPr>
                <w:rFonts w:ascii="Noto Sans" w:hAnsi="Noto Sans"/>
                <w:b w:val="0"/>
                <w:i w:val="0"/>
                <w:color w:val="173247"/>
                <w:sz w:val="18"/>
              </w:rPr>
              <w:t>[</w:t>
            </w:r>
            <w:r>
              <w:rPr>
                <w:rFonts w:ascii="Noto Sans" w:hAnsi="Noto Sans"/>
                <w:b w:val="0"/>
                <w:i w:val="0"/>
                <w:color w:val="173247"/>
                <w:sz w:val="18"/>
              </w:rPr>
              <w:t>U03;U10;P30]</w:t>
            </w:r>
          </w:p>
        </w:tc>
      </w:tr>
      <w:tr>
        <w:trPr>
          <w:cantSplit/>
        </w:trPr>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CAP033 — Prendre en charge le SAV</w:t>
            </w:r>
          </w:p>
        </w:tc>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Recevoir réclamation, suivre objectif et décisions.</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 xml:space="preserve">Force Sarenza ; détail non décrit. Dans le périmètre. </w:t>
            </w:r>
            <w:r>
              <w:rPr>
                <w:rFonts w:ascii="Noto Sans" w:hAnsi="Noto Sans"/>
                <w:b w:val="0"/>
                <w:i w:val="0"/>
                <w:color w:val="173247"/>
                <w:sz w:val="18"/>
              </w:rPr>
              <w:t>[</w:t>
            </w:r>
            <w:r>
              <w:rPr>
                <w:rFonts w:ascii="Noto Sans" w:hAnsi="Noto Sans"/>
                <w:b w:val="0"/>
                <w:i w:val="0"/>
                <w:color w:val="173247"/>
                <w:sz w:val="18"/>
              </w:rPr>
              <w:t>U01;U02;P25]</w:t>
            </w:r>
          </w:p>
        </w:tc>
      </w:tr>
      <w:tr>
        <w:trPr>
          <w:cantSplit/>
        </w:trPr>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CAP034 — Autoriser et traiter retour ou échange</w:t>
            </w:r>
          </w:p>
        </w:tc>
        <w:tc>
          <w:tcPr>
            <w:tcW w:type="dxa" w:w="260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Décider solution commerciale puis effets physiques, sans absorber exécution financière.</w:t>
            </w:r>
          </w:p>
        </w:tc>
        <w:tc>
          <w:tcPr>
            <w:tcW w:type="dxa" w:w="4592"/>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 xml:space="preserve">À inventorier. Dans le périmètre à qualifier. </w:t>
            </w:r>
            <w:r>
              <w:rPr>
                <w:rFonts w:ascii="Noto Sans" w:hAnsi="Noto Sans"/>
                <w:b w:val="0"/>
                <w:i w:val="0"/>
                <w:color w:val="173247"/>
                <w:sz w:val="18"/>
              </w:rPr>
              <w:t>[</w:t>
            </w:r>
            <w:r>
              <w:rPr>
                <w:rFonts w:ascii="Noto Sans" w:hAnsi="Noto Sans"/>
                <w:b w:val="0"/>
                <w:i w:val="0"/>
                <w:color w:val="173247"/>
                <w:sz w:val="18"/>
              </w:rPr>
              <w:t>U01;P25;P53]</w:t>
            </w:r>
          </w:p>
        </w:tc>
      </w:tr>
      <w:tr>
        <w:trPr>
          <w:cantSplit/>
        </w:trPr>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CAP035 — Arbitrer les demandes sous contrainte</w:t>
            </w:r>
          </w:p>
        </w:tc>
        <w:tc>
          <w:tcPr>
            <w:tcW w:type="dxa" w:w="260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Décider d’une priorité ou d’une réaffectation dans un contexte admissible.</w:t>
            </w:r>
          </w:p>
        </w:tc>
        <w:tc>
          <w:tcPr>
            <w:tcW w:type="dxa" w:w="4592"/>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 xml:space="preserve">GBM FIFO ; BRD à explorer. Candidat transverse, non actif comme repriorisation Gold dans GBM. </w:t>
            </w:r>
            <w:r>
              <w:rPr>
                <w:rFonts w:ascii="Noto Sans" w:hAnsi="Noto Sans"/>
                <w:b w:val="0"/>
                <w:i w:val="0"/>
                <w:color w:val="173247"/>
                <w:sz w:val="18"/>
              </w:rPr>
              <w:t>[</w:t>
            </w:r>
            <w:r>
              <w:rPr>
                <w:rFonts w:ascii="Noto Sans" w:hAnsi="Noto Sans"/>
                <w:b w:val="0"/>
                <w:i w:val="0"/>
                <w:color w:val="173247"/>
                <w:sz w:val="18"/>
              </w:rPr>
              <w:t>U02;U10;P54;P55]</w:t>
            </w:r>
          </w:p>
        </w:tc>
      </w:tr>
    </w:tbl>
    <w:p>
      <w:pPr>
        <w:pStyle w:val="Heading2"/>
        <w:keepNext/>
      </w:pPr>
      <w:r>
        <w:rPr>
          <w:b w:val="0"/>
          <w:i w:val="0"/>
        </w:rPr>
        <w:t>Options cible préservées</w:t>
      </w:r>
    </w:p>
    <w:p>
      <w:pPr/>
      <w:r>
        <w:rPr>
          <w:b w:val="0"/>
          <w:i w:val="0"/>
        </w:rPr>
        <w:t>La carte doit permettre de comparer ce qui pourrait devenir commun, rester contextualisé, être remplacé ou être délégué. Aucune application cible n’a été choisie dans ce fil. Il n’est pas présupposé qu’une capacité commune impose une instance unique, qu’une information de référence exige un DataHub central, ou qu’une décision partagée impose un moteur unique.</w:t>
      </w:r>
    </w:p>
    <w:p>
      <w:pPr/>
      <w:r>
        <w:rPr>
          <w:b w:val="0"/>
          <w:i w:val="0"/>
        </w:rPr>
        <w:t>La convergence doit distinguer la sémantique commune, les politiques applicables et les responsabilités d’engagement. Un même verbe peut produire des engagements différents selon canal ou modèle commercial. À l’inverse, des logiciels différents peuvent exercer la même responsabilité métier.</w:t>
      </w:r>
    </w:p>
    <w:p>
      <w:pPr/>
      <w:r>
        <w:rPr>
          <w:b w:val="0"/>
          <w:i w:val="0"/>
        </w:rPr>
        <w:t xml:space="preserve">Pour C-Log, les options portent sur le contrat et les frontières de décision, non sur une absorption de l’exécution. Pour les trois SI, les règles GBM de vente sur stock/FIFO constituent une variante existante à comparer, pas une norme de groupe déjà décidée. </w:t>
      </w:r>
      <w:r>
        <w:rPr>
          <w:b w:val="0"/>
          <w:i w:val="0"/>
        </w:rPr>
        <w:t>[</w:t>
      </w:r>
      <w:r>
        <w:rPr>
          <w:b w:val="0"/>
          <w:i w:val="0"/>
        </w:rPr>
        <w:t>U07 ; U09 ; U10 ; P24 ; P49 ; P55]</w:t>
      </w:r>
    </w:p>
    <w:p>
      <w:pPr>
        <w:pStyle w:val="Heading2"/>
        <w:keepNext/>
      </w:pPr>
      <w:r>
        <w:rPr>
          <w:b w:val="0"/>
          <w:i w:val="0"/>
        </w:rPr>
        <w:t>Ce qu’il faut éprouver avant de refermer les options</w:t>
      </w:r>
    </w:p>
    <w:p>
      <w:pPr/>
      <w:r>
        <w:rPr>
          <w:b w:val="0"/>
          <w:i w:val="0"/>
        </w:rPr>
        <w:t>Le réassort est un premier test de définition : calculer les paramètres, tenir leur version applicable et déclencher la demande doivent-ils devenir trois sous-capacités ou trois responsabilités dans une même fiche ? Le ship-from-store teste la distinction stock, quota, acceptation et engagement. MAP/CBS testent la frontière planification/opération et le recalcul face aux engagements. C-Log teste la délégation des décisions à un SI autonome. BRD et Sarenza permettront ensuite de vérifier que ces choix ne sont pas seulement adaptés à GBM.</w:t>
      </w:r>
    </w:p>
    <w:p>
      <w:pPr>
        <w:pStyle w:val="Heading1"/>
        <w:keepNext/>
        <w:spacing w:before="360"/>
      </w:pPr>
      <w:r>
        <w:rPr>
          <w:b w:val="0"/>
          <w:i w:val="0"/>
        </w:rPr>
        <w:t>16 — Questions ouvertes et suite de l’exploration</w:t>
      </w:r>
    </w:p>
    <w:p>
      <w:pPr/>
      <w:r>
        <w:rPr>
          <w:b w:val="0"/>
          <w:i w:val="0"/>
        </w:rPr>
        <w:t xml:space="preserve">Le registre comporte 61 questions : </w:t>
      </w:r>
      <w:r>
        <w:rPr>
          <w:b/>
          <w:i w:val="0"/>
        </w:rPr>
        <w:t>53 restent ouvertes et 8 sont résolues dans le fil</w:t>
      </w:r>
      <w:r>
        <w:rPr>
          <w:b w:val="0"/>
          <w:i w:val="0"/>
        </w:rPr>
        <w:t>. Ce n’est pas une liste de questions à poser immédiatement. Elle sert à conserver les inconnues sans les transformer en décisions implicites. Les détails techniques ne doivent être approfondis que s’ils éclairent une frontière métier ou la comparaison des réalisations.</w:t>
      </w:r>
    </w:p>
    <w:p>
      <w:pPr/>
      <w:r>
        <w:rPr>
          <w:b w:val="0"/>
          <w:i w:val="0"/>
        </w:rPr>
        <w:t>Les questions ci-dessous sont toutes présentes dans le registre, avec leur enjeu et leur provenance. Les premières viennent des échanges ; certaines formulations précisent, pour la consolidation, les réserves déjà identifiées.</w:t>
      </w:r>
    </w:p>
    <w:p>
      <w:pPr>
        <w:pStyle w:val="Heading2"/>
        <w:keepNext/>
      </w:pPr>
      <w:r>
        <w:rPr>
          <w:b w:val="0"/>
          <w:i w:val="0"/>
        </w:rPr>
        <w:t>Cadrage, structure et réalisations</w:t>
      </w:r>
    </w:p>
    <w:tbl>
      <w:tblPr>
        <w:tblStyle w:val="TableGrid"/>
        <w:tblW w:type="auto" w:w="0"/>
        <w:jc w:val="center"/>
        <w:tblLayout w:type="fixed"/>
        <w:tblLook w:firstColumn="1" w:firstRow="1" w:lastColumn="0" w:lastRow="0" w:noHBand="0" w:noVBand="1" w:val="04A0"/>
        <w:tblBorders>
          <w:top w:val="single" w:sz="4" w:color="D8E2E7"/>
          <w:left w:val="single" w:sz="4" w:color="D8E2E7"/>
          <w:bottom w:val="single" w:sz="4" w:color="D8E2E7"/>
          <w:right w:val="single" w:sz="4" w:color="D8E2E7"/>
          <w:insideH w:val="single" w:sz="4" w:color="D8E2E7"/>
          <w:insideV w:val="single" w:sz="4" w:color="D8E2E7"/>
        </w:tblBorders>
      </w:tblPr>
      <w:tblGrid>
        <w:gridCol w:w="1134"/>
        <w:gridCol w:w="8674"/>
      </w:tblGrid>
      <w:tr>
        <w:trPr>
          <w:cantSplit/>
          <w:tblHeader w:val="true"/>
        </w:trPr>
        <w:tc>
          <w:tcPr>
            <w:tcW w:type="dxa" w:w="1134"/>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ID</w:t>
            </w:r>
          </w:p>
        </w:tc>
        <w:tc>
          <w:tcPr>
            <w:tcW w:type="dxa" w:w="8674"/>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Question à conserver</w:t>
            </w:r>
          </w:p>
        </w:tc>
      </w:tr>
      <w:tr>
        <w:trPr>
          <w:cantSplit/>
        </w:trPr>
        <w:tc>
          <w:tcPr>
            <w:tcW w:type="dxa" w:w="113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Q001</w:t>
            </w:r>
          </w:p>
        </w:tc>
        <w:tc>
          <w:tcPr>
            <w:tcW w:type="dxa" w:w="867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Le Domaine est-il une capacité L1 ou un regroupement ? À quel niveau utiliser les verbes de responsabilité ?</w:t>
            </w:r>
          </w:p>
        </w:tc>
      </w:tr>
      <w:tr>
        <w:trPr>
          <w:cantSplit/>
        </w:trPr>
        <w:tc>
          <w:tcPr>
            <w:tcW w:type="dxa" w:w="113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Q002</w:t>
            </w:r>
          </w:p>
        </w:tc>
        <w:tc>
          <w:tcPr>
            <w:tcW w:type="dxa" w:w="867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Quelle structure principale retenir parmi responsabilités, objets/cycles de vie et responsabilités de décision/exécution ?</w:t>
            </w:r>
          </w:p>
        </w:tc>
      </w:tr>
      <w:tr>
        <w:trPr>
          <w:cantSplit/>
        </w:trPr>
        <w:tc>
          <w:tcPr>
            <w:tcW w:type="dxa" w:w="113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Q003</w:t>
            </w:r>
          </w:p>
        </w:tc>
        <w:tc>
          <w:tcPr>
            <w:tcW w:type="dxa" w:w="867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Quels référentiels détaillés sont accessibles et réutilisables ; quelles versions et conditions de réutilisation ?</w:t>
            </w:r>
          </w:p>
        </w:tc>
      </w:tr>
      <w:tr>
        <w:trPr>
          <w:cantSplit/>
        </w:trPr>
        <w:tc>
          <w:tcPr>
            <w:tcW w:type="dxa" w:w="113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Q004</w:t>
            </w:r>
          </w:p>
        </w:tc>
        <w:tc>
          <w:tcPr>
            <w:tcW w:type="dxa" w:w="867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Où placer facturation commerciale, encaissement, décision de remboursement et leurs interfaces financières ?</w:t>
            </w:r>
          </w:p>
        </w:tc>
      </w:tr>
      <w:tr>
        <w:trPr>
          <w:cantSplit/>
        </w:trPr>
        <w:tc>
          <w:tcPr>
            <w:tcW w:type="dxa" w:w="113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Q005</w:t>
            </w:r>
          </w:p>
        </w:tc>
        <w:tc>
          <w:tcPr>
            <w:tcW w:type="dxa" w:w="867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Quels éléments de prévision et de planification MAP restent contexte amont ; quels résultats opérationnels entrent dans la carte ?</w:t>
            </w:r>
          </w:p>
        </w:tc>
      </w:tr>
      <w:tr>
        <w:trPr>
          <w:cantSplit/>
        </w:trPr>
        <w:tc>
          <w:tcPr>
            <w:tcW w:type="dxa" w:w="113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Q006</w:t>
            </w:r>
          </w:p>
        </w:tc>
        <w:tc>
          <w:tcPr>
            <w:tcW w:type="dxa" w:w="867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Quelles tâches documentaires/douanières de CBS décrire comme opérations ou interfaces, sans réintégrer le domaine conformité ?</w:t>
            </w:r>
          </w:p>
        </w:tc>
      </w:tr>
      <w:tr>
        <w:trPr>
          <w:cantSplit/>
        </w:trPr>
        <w:tc>
          <w:tcPr>
            <w:tcW w:type="dxa" w:w="113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Q007</w:t>
            </w:r>
          </w:p>
        </w:tc>
        <w:tc>
          <w:tcPr>
            <w:tcW w:type="dxa" w:w="867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Quelles marques, entités, sites, canaux et périodes couvrent les règles déclarées ?</w:t>
            </w:r>
          </w:p>
        </w:tc>
      </w:tr>
      <w:tr>
        <w:trPr>
          <w:cantSplit/>
        </w:trPr>
        <w:tc>
          <w:tcPr>
            <w:tcW w:type="dxa" w:w="113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Q008</w:t>
            </w:r>
          </w:p>
        </w:tc>
        <w:tc>
          <w:tcPr>
            <w:tcW w:type="dxa" w:w="867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Quelles instances, versions, modules et spécifiques d’UR, Socloz, Storeland et autres produits sont effectivement utilisés ?</w:t>
            </w:r>
          </w:p>
        </w:tc>
      </w:tr>
      <w:tr>
        <w:trPr>
          <w:cantSplit/>
        </w:trPr>
        <w:tc>
          <w:tcPr>
            <w:tcW w:type="dxa" w:w="113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Q009</w:t>
            </w:r>
          </w:p>
        </w:tc>
        <w:tc>
          <w:tcPr>
            <w:tcW w:type="dxa" w:w="867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Où et depuis quand IRMA est-il autorité effective ; où SCORTEX reste-t-il actif ?</w:t>
            </w:r>
          </w:p>
        </w:tc>
      </w:tr>
      <w:tr>
        <w:trPr>
          <w:cantSplit/>
        </w:trPr>
        <w:tc>
          <w:tcPr>
            <w:tcW w:type="dxa" w:w="113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Q010</w:t>
            </w:r>
          </w:p>
        </w:tc>
        <w:tc>
          <w:tcPr>
            <w:tcW w:type="dxa" w:w="867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Qui crée, modifie et fait autorité sur articles, fournisseurs, clients, sites, conditions commerciales et prix ?</w:t>
            </w:r>
          </w:p>
        </w:tc>
      </w:tr>
    </w:tbl>
    <w:p>
      <w:pPr>
        <w:pStyle w:val="Heading2"/>
        <w:keepNext/>
      </w:pPr>
      <w:r>
        <w:rPr>
          <w:b w:val="0"/>
          <w:i w:val="0"/>
        </w:rPr>
        <w:t>Stock, intégration et parcours magasin</w:t>
      </w:r>
    </w:p>
    <w:tbl>
      <w:tblPr>
        <w:tblStyle w:val="TableGrid"/>
        <w:tblW w:type="auto" w:w="0"/>
        <w:jc w:val="center"/>
        <w:tblLayout w:type="fixed"/>
        <w:tblLook w:firstColumn="1" w:firstRow="1" w:lastColumn="0" w:lastRow="0" w:noHBand="0" w:noVBand="1" w:val="04A0"/>
        <w:tblBorders>
          <w:top w:val="single" w:sz="4" w:color="D8E2E7"/>
          <w:left w:val="single" w:sz="4" w:color="D8E2E7"/>
          <w:bottom w:val="single" w:sz="4" w:color="D8E2E7"/>
          <w:right w:val="single" w:sz="4" w:color="D8E2E7"/>
          <w:insideH w:val="single" w:sz="4" w:color="D8E2E7"/>
          <w:insideV w:val="single" w:sz="4" w:color="D8E2E7"/>
        </w:tblBorders>
      </w:tblPr>
      <w:tblGrid>
        <w:gridCol w:w="1134"/>
        <w:gridCol w:w="8674"/>
      </w:tblGrid>
      <w:tr>
        <w:trPr>
          <w:cantSplit/>
          <w:tblHeader w:val="true"/>
        </w:trPr>
        <w:tc>
          <w:tcPr>
            <w:tcW w:type="dxa" w:w="1134"/>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ID</w:t>
            </w:r>
          </w:p>
        </w:tc>
        <w:tc>
          <w:tcPr>
            <w:tcW w:type="dxa" w:w="8674"/>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Question à conserver</w:t>
            </w:r>
          </w:p>
        </w:tc>
      </w:tr>
      <w:tr>
        <w:trPr>
          <w:cantSplit/>
        </w:trPr>
        <w:tc>
          <w:tcPr>
            <w:tcW w:type="dxa" w:w="113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Q011</w:t>
            </w:r>
          </w:p>
        </w:tc>
        <w:tc>
          <w:tcPr>
            <w:tcW w:type="dxa" w:w="867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Quel système fait autorité sur le stock physique d’entrepôt et sur chaque état logique ? Quel rôle exact joue UR ?</w:t>
            </w:r>
          </w:p>
        </w:tc>
      </w:tr>
      <w:tr>
        <w:trPr>
          <w:cantSplit/>
        </w:trPr>
        <w:tc>
          <w:tcPr>
            <w:tcW w:type="dxa" w:w="113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Q012</w:t>
            </w:r>
          </w:p>
        </w:tc>
        <w:tc>
          <w:tcPr>
            <w:tcW w:type="dxa" w:w="867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Comment sont calculés stock visible et disponibilité vendable, et où se font les lectures pour chaque parcours ?</w:t>
            </w:r>
          </w:p>
        </w:tc>
      </w:tr>
      <w:tr>
        <w:trPr>
          <w:cantSplit/>
        </w:trPr>
        <w:tc>
          <w:tcPr>
            <w:tcW w:type="dxa" w:w="113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Q013</w:t>
            </w:r>
          </w:p>
        </w:tc>
        <w:tc>
          <w:tcPr>
            <w:tcW w:type="dxa" w:w="867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Quelles fréquences, fraîcheurs, reprises et contrôles gouvernent les batchs Storeland–UR et UR–C-Log ?</w:t>
            </w:r>
          </w:p>
        </w:tc>
      </w:tr>
      <w:tr>
        <w:trPr>
          <w:cantSplit/>
        </w:trPr>
        <w:tc>
          <w:tcPr>
            <w:tcW w:type="dxa" w:w="113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Q014</w:t>
            </w:r>
          </w:p>
        </w:tc>
        <w:tc>
          <w:tcPr>
            <w:tcW w:type="dxa" w:w="867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Quelles règles métier éventuelles sont contenues dans Talend et quels flux y passent réellement ?</w:t>
            </w:r>
          </w:p>
        </w:tc>
      </w:tr>
      <w:tr>
        <w:trPr>
          <w:cantSplit/>
        </w:trPr>
        <w:tc>
          <w:tcPr>
            <w:tcW w:type="dxa" w:w="113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Q015</w:t>
            </w:r>
          </w:p>
        </w:tc>
        <w:tc>
          <w:tcPr>
            <w:tcW w:type="dxa" w:w="867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Que mesure exactement “le moins sollicité” ?</w:t>
            </w:r>
          </w:p>
        </w:tc>
      </w:tr>
      <w:tr>
        <w:trPr>
          <w:cantSplit/>
        </w:trPr>
        <w:tc>
          <w:tcPr>
            <w:tcW w:type="dxa" w:w="113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Q016</w:t>
            </w:r>
          </w:p>
        </w:tc>
        <w:tc>
          <w:tcPr>
            <w:tcW w:type="dxa" w:w="867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Qui définit les quotas, dans quel outil et sur quel périmètre ?</w:t>
            </w:r>
          </w:p>
        </w:tc>
      </w:tr>
      <w:tr>
        <w:trPr>
          <w:cantSplit/>
        </w:trPr>
        <w:tc>
          <w:tcPr>
            <w:tcW w:type="dxa" w:w="113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Q017</w:t>
            </w:r>
          </w:p>
        </w:tc>
        <w:tc>
          <w:tcPr>
            <w:tcW w:type="dxa" w:w="867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Quand un quota est-il consommé et restitué ?</w:t>
            </w:r>
          </w:p>
        </w:tc>
      </w:tr>
      <w:tr>
        <w:trPr>
          <w:cantSplit/>
        </w:trPr>
        <w:tc>
          <w:tcPr>
            <w:tcW w:type="dxa" w:w="113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Q018</w:t>
            </w:r>
          </w:p>
        </w:tc>
        <w:tc>
          <w:tcPr>
            <w:tcW w:type="dxa" w:w="867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Quand et où le stock est-il réservé, confirmé puis libéré ?</w:t>
            </w:r>
          </w:p>
        </w:tc>
      </w:tr>
      <w:tr>
        <w:trPr>
          <w:cantSplit/>
        </w:trPr>
        <w:tc>
          <w:tcPr>
            <w:tcW w:type="dxa" w:w="113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Q019</w:t>
            </w:r>
          </w:p>
        </w:tc>
        <w:tc>
          <w:tcPr>
            <w:tcW w:type="dxa" w:w="867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Comment une réponse positive reçue après expiration est-elle traitée ?</w:t>
            </w:r>
          </w:p>
        </w:tc>
      </w:tr>
      <w:tr>
        <w:trPr>
          <w:cantSplit/>
        </w:trPr>
        <w:tc>
          <w:tcPr>
            <w:tcW w:type="dxa" w:w="113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Q020</w:t>
            </w:r>
          </w:p>
        </w:tc>
        <w:tc>
          <w:tcPr>
            <w:tcW w:type="dxa" w:w="867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Quel est le délai exact d’escalade et comment s’applique-t-il hors ouverture du magasin ?</w:t>
            </w:r>
          </w:p>
        </w:tc>
      </w:tr>
      <w:tr>
        <w:trPr>
          <w:cantSplit/>
        </w:trPr>
        <w:tc>
          <w:tcPr>
            <w:tcW w:type="dxa" w:w="113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Q021</w:t>
            </w:r>
          </w:p>
        </w:tc>
        <w:tc>
          <w:tcPr>
            <w:tcW w:type="dxa" w:w="867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Quels pouvoirs et suites d’action le responsable commercial a-t-il après l’alerte ?</w:t>
            </w:r>
          </w:p>
        </w:tc>
      </w:tr>
      <w:tr>
        <w:trPr>
          <w:cantSplit/>
        </w:trPr>
        <w:tc>
          <w:tcPr>
            <w:tcW w:type="dxa" w:w="113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Q022</w:t>
            </w:r>
          </w:p>
        </w:tc>
        <w:tc>
          <w:tcPr>
            <w:tcW w:type="dxa" w:w="867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Quelle est l’unité d’affectation : commande complète, ligne, article, quantité ou lot d’exécution ? Comment traiter multi-articles et splits ?</w:t>
            </w:r>
          </w:p>
        </w:tc>
      </w:tr>
      <w:tr>
        <w:trPr>
          <w:cantSplit/>
        </w:trPr>
        <w:tc>
          <w:tcPr>
            <w:tcW w:type="dxa" w:w="113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Q023</w:t>
            </w:r>
          </w:p>
        </w:tc>
        <w:tc>
          <w:tcPr>
            <w:tcW w:type="dxa" w:w="867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Quel système fait autorité sur la commande client et quels événements en changent l’état ?</w:t>
            </w:r>
          </w:p>
        </w:tc>
      </w:tr>
    </w:tbl>
    <w:p>
      <w:pPr>
        <w:pStyle w:val="Heading2"/>
        <w:keepNext/>
      </w:pPr>
      <w:r>
        <w:rPr>
          <w:b w:val="0"/>
          <w:i w:val="0"/>
        </w:rPr>
        <w:t>Réassort, MAP, CBS et ordre de service</w:t>
      </w:r>
    </w:p>
    <w:tbl>
      <w:tblPr>
        <w:tblStyle w:val="TableGrid"/>
        <w:tblW w:type="auto" w:w="0"/>
        <w:jc w:val="center"/>
        <w:tblLayout w:type="fixed"/>
        <w:tblLook w:firstColumn="1" w:firstRow="1" w:lastColumn="0" w:lastRow="0" w:noHBand="0" w:noVBand="1" w:val="04A0"/>
        <w:tblBorders>
          <w:top w:val="single" w:sz="4" w:color="D8E2E7"/>
          <w:left w:val="single" w:sz="4" w:color="D8E2E7"/>
          <w:bottom w:val="single" w:sz="4" w:color="D8E2E7"/>
          <w:right w:val="single" w:sz="4" w:color="D8E2E7"/>
          <w:insideH w:val="single" w:sz="4" w:color="D8E2E7"/>
          <w:insideV w:val="single" w:sz="4" w:color="D8E2E7"/>
        </w:tblBorders>
      </w:tblPr>
      <w:tblGrid>
        <w:gridCol w:w="1134"/>
        <w:gridCol w:w="8674"/>
      </w:tblGrid>
      <w:tr>
        <w:trPr>
          <w:cantSplit/>
          <w:tblHeader w:val="true"/>
        </w:trPr>
        <w:tc>
          <w:tcPr>
            <w:tcW w:type="dxa" w:w="1134"/>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ID</w:t>
            </w:r>
          </w:p>
        </w:tc>
        <w:tc>
          <w:tcPr>
            <w:tcW w:type="dxa" w:w="8674"/>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Question à conserver</w:t>
            </w:r>
          </w:p>
        </w:tc>
      </w:tr>
      <w:tr>
        <w:trPr>
          <w:cantSplit/>
        </w:trPr>
        <w:tc>
          <w:tcPr>
            <w:tcW w:type="dxa" w:w="113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Q024</w:t>
            </w:r>
          </w:p>
        </w:tc>
        <w:tc>
          <w:tcPr>
            <w:tcW w:type="dxa" w:w="867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Comment la quantité de réassort est-elle calculée ?</w:t>
            </w:r>
          </w:p>
        </w:tc>
      </w:tr>
      <w:tr>
        <w:trPr>
          <w:cantSplit/>
        </w:trPr>
        <w:tc>
          <w:tcPr>
            <w:tcW w:type="dxa" w:w="113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Q025</w:t>
            </w:r>
          </w:p>
        </w:tc>
        <w:tc>
          <w:tcPr>
            <w:tcW w:type="dxa" w:w="867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Existe-t-il des demandes manuelles ou des exceptions au réassort automatique ?</w:t>
            </w:r>
          </w:p>
        </w:tc>
      </w:tr>
      <w:tr>
        <w:trPr>
          <w:cantSplit/>
        </w:trPr>
        <w:tc>
          <w:tcPr>
            <w:tcW w:type="dxa" w:w="113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Q026</w:t>
            </w:r>
          </w:p>
        </w:tc>
        <w:tc>
          <w:tcPr>
            <w:tcW w:type="dxa" w:w="867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Comment les seuils IRMA sont-ils publiés, versionnés, datés et appliqués dans Storeland ?</w:t>
            </w:r>
          </w:p>
        </w:tc>
      </w:tr>
      <w:tr>
        <w:trPr>
          <w:cantSplit/>
        </w:trPr>
        <w:tc>
          <w:tcPr>
            <w:tcW w:type="dxa" w:w="113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Q027</w:t>
            </w:r>
          </w:p>
        </w:tc>
        <w:tc>
          <w:tcPr>
            <w:tcW w:type="dxa" w:w="867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Comment protections MAP marque/canal et objectifs/seuils IRMA magasin s’articulent-ils ?</w:t>
            </w:r>
          </w:p>
        </w:tc>
      </w:tr>
      <w:tr>
        <w:trPr>
          <w:cantSplit/>
        </w:trPr>
        <w:tc>
          <w:tcPr>
            <w:tcW w:type="dxa" w:w="113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Q028</w:t>
            </w:r>
          </w:p>
        </w:tc>
        <w:tc>
          <w:tcPr>
            <w:tcW w:type="dxa" w:w="867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Sur quelle plateforme MAP est-il réellement implémenté ?</w:t>
            </w:r>
          </w:p>
        </w:tc>
      </w:tr>
      <w:tr>
        <w:trPr>
          <w:cantSplit/>
        </w:trPr>
        <w:tc>
          <w:tcPr>
            <w:tcW w:type="dxa" w:w="113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Q029</w:t>
            </w:r>
          </w:p>
        </w:tc>
        <w:tc>
          <w:tcPr>
            <w:tcW w:type="dxa" w:w="867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À quel horizon, avec quelles unités et variantes les prévisions, lotissements et protections sont-ils calculés ?</w:t>
            </w:r>
          </w:p>
        </w:tc>
      </w:tr>
      <w:tr>
        <w:trPr>
          <w:cantSplit/>
        </w:trPr>
        <w:tc>
          <w:tcPr>
            <w:tcW w:type="dxa" w:w="113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Q030</w:t>
            </w:r>
          </w:p>
        </w:tc>
        <w:tc>
          <w:tcPr>
            <w:tcW w:type="dxa" w:w="867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Où les protections sont-elles tenues et rendues opposables aux ventes/réassorts ?</w:t>
            </w:r>
          </w:p>
        </w:tc>
      </w:tr>
      <w:tr>
        <w:trPr>
          <w:cantSplit/>
        </w:trPr>
        <w:tc>
          <w:tcPr>
            <w:tcW w:type="dxa" w:w="113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Q031</w:t>
            </w:r>
          </w:p>
        </w:tc>
        <w:tc>
          <w:tcPr>
            <w:tcW w:type="dxa" w:w="867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Quels consommateurs et jeux de données sont visés par “annule et remplace” ?</w:t>
            </w:r>
          </w:p>
        </w:tc>
      </w:tr>
      <w:tr>
        <w:trPr>
          <w:cantSplit/>
        </w:trPr>
        <w:tc>
          <w:tcPr>
            <w:tcW w:type="dxa" w:w="113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Q032</w:t>
            </w:r>
          </w:p>
        </w:tc>
        <w:tc>
          <w:tcPr>
            <w:tcW w:type="dxa" w:w="867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Que devient un engagement déjà accepté lors d’un recalcul de MAP ?</w:t>
            </w:r>
          </w:p>
        </w:tc>
      </w:tr>
      <w:tr>
        <w:trPr>
          <w:cantSplit/>
        </w:trPr>
        <w:tc>
          <w:tcPr>
            <w:tcW w:type="dxa" w:w="113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Q033</w:t>
            </w:r>
          </w:p>
        </w:tc>
        <w:tc>
          <w:tcPr>
            <w:tcW w:type="dxa" w:w="867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Quel signal de fabrication/livraison déclenche le recalcul MAP ; est-il issu de CBS et par quel circuit ?</w:t>
            </w:r>
          </w:p>
        </w:tc>
      </w:tr>
      <w:tr>
        <w:trPr>
          <w:cantSplit/>
        </w:trPr>
        <w:tc>
          <w:tcPr>
            <w:tcW w:type="dxa" w:w="113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Q034</w:t>
            </w:r>
          </w:p>
        </w:tc>
        <w:tc>
          <w:tcPr>
            <w:tcW w:type="dxa" w:w="867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Quel est le statut de la demande d’achat créée par MAP, qui la valide et qui émet l’engagement fournisseur ferme ?</w:t>
            </w:r>
          </w:p>
        </w:tc>
      </w:tr>
      <w:tr>
        <w:trPr>
          <w:cantSplit/>
        </w:trPr>
        <w:tc>
          <w:tcPr>
            <w:tcW w:type="dxa" w:w="113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Q035</w:t>
            </w:r>
          </w:p>
        </w:tc>
        <w:tc>
          <w:tcPr>
            <w:tcW w:type="dxa" w:w="867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CBS correspond-il exactement à l’application achats sur mesure initialement évoquée ?</w:t>
            </w:r>
          </w:p>
        </w:tc>
      </w:tr>
      <w:tr>
        <w:trPr>
          <w:cantSplit/>
        </w:trPr>
        <w:tc>
          <w:tcPr>
            <w:tcW w:type="dxa" w:w="113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Q036</w:t>
            </w:r>
          </w:p>
        </w:tc>
        <w:tc>
          <w:tcPr>
            <w:tcW w:type="dxa" w:w="867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Quels objets, statuts et documents suivent fabrication, port/Carrier et douane ?</w:t>
            </w:r>
          </w:p>
        </w:tc>
      </w:tr>
      <w:tr>
        <w:trPr>
          <w:cantSplit/>
        </w:trPr>
        <w:tc>
          <w:tcPr>
            <w:tcW w:type="dxa" w:w="113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Q037</w:t>
            </w:r>
          </w:p>
        </w:tc>
        <w:tc>
          <w:tcPr>
            <w:tcW w:type="dxa" w:w="867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À quel périmètre le FIFO s’applique-t-il : marque, canal, site, stock protégé ou file commune ?</w:t>
            </w:r>
          </w:p>
        </w:tc>
      </w:tr>
      <w:tr>
        <w:trPr>
          <w:cantSplit/>
        </w:trPr>
        <w:tc>
          <w:tcPr>
            <w:tcW w:type="dxa" w:w="113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Q038</w:t>
            </w:r>
          </w:p>
        </w:tc>
        <w:tc>
          <w:tcPr>
            <w:tcW w:type="dxa" w:w="867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Quelle information et quel engagement garantissent la vente sur stock malgré batchs et ventes magasin ?</w:t>
            </w:r>
          </w:p>
        </w:tc>
      </w:tr>
      <w:tr>
        <w:trPr>
          <w:cantSplit/>
        </w:trPr>
        <w:tc>
          <w:tcPr>
            <w:tcW w:type="dxa" w:w="113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Q039</w:t>
            </w:r>
          </w:p>
        </w:tc>
        <w:tc>
          <w:tcPr>
            <w:tcW w:type="dxa" w:w="867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Qui décide et applique l’exclusion d’un mauvais payeur ; quel effet sur commandes déjà acceptées ?</w:t>
            </w:r>
          </w:p>
        </w:tc>
      </w:tr>
    </w:tbl>
    <w:p>
      <w:pPr>
        <w:pStyle w:val="Heading2"/>
        <w:keepNext/>
      </w:pPr>
      <w:r>
        <w:rPr>
          <w:b w:val="0"/>
          <w:i w:val="0"/>
        </w:rPr>
        <w:t>C-Log, autres SI et gouvernance cible</w:t>
      </w:r>
    </w:p>
    <w:tbl>
      <w:tblPr>
        <w:tblStyle w:val="TableGrid"/>
        <w:tblW w:type="auto" w:w="0"/>
        <w:jc w:val="center"/>
        <w:tblLayout w:type="fixed"/>
        <w:tblLook w:firstColumn="1" w:firstRow="1" w:lastColumn="0" w:lastRow="0" w:noHBand="0" w:noVBand="1" w:val="04A0"/>
        <w:tblBorders>
          <w:top w:val="single" w:sz="4" w:color="D8E2E7"/>
          <w:left w:val="single" w:sz="4" w:color="D8E2E7"/>
          <w:bottom w:val="single" w:sz="4" w:color="D8E2E7"/>
          <w:right w:val="single" w:sz="4" w:color="D8E2E7"/>
          <w:insideH w:val="single" w:sz="4" w:color="D8E2E7"/>
          <w:insideV w:val="single" w:sz="4" w:color="D8E2E7"/>
        </w:tblBorders>
      </w:tblPr>
      <w:tblGrid>
        <w:gridCol w:w="1134"/>
        <w:gridCol w:w="8674"/>
      </w:tblGrid>
      <w:tr>
        <w:trPr>
          <w:cantSplit/>
          <w:tblHeader w:val="true"/>
        </w:trPr>
        <w:tc>
          <w:tcPr>
            <w:tcW w:type="dxa" w:w="1134"/>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ID</w:t>
            </w:r>
          </w:p>
        </w:tc>
        <w:tc>
          <w:tcPr>
            <w:tcW w:type="dxa" w:w="8674"/>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Question à conserver</w:t>
            </w:r>
          </w:p>
        </w:tc>
      </w:tr>
      <w:tr>
        <w:trPr>
          <w:cantSplit/>
        </w:trPr>
        <w:tc>
          <w:tcPr>
            <w:tcW w:type="dxa" w:w="113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Q040</w:t>
            </w:r>
          </w:p>
        </w:tc>
        <w:tc>
          <w:tcPr>
            <w:tcW w:type="dxa" w:w="867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Quelles contraintes le commerce transmet-il et quels choix C-Log peut-il arrêter ou renégocier ?</w:t>
            </w:r>
          </w:p>
        </w:tc>
      </w:tr>
      <w:tr>
        <w:trPr>
          <w:cantSplit/>
        </w:trPr>
        <w:tc>
          <w:tcPr>
            <w:tcW w:type="dxa" w:w="113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Q041</w:t>
            </w:r>
          </w:p>
        </w:tc>
        <w:tc>
          <w:tcPr>
            <w:tcW w:type="dxa" w:w="867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Qui tient l’aptitude des entrepôts, les services réalisables et leurs capacités opérationnelles ?</w:t>
            </w:r>
          </w:p>
        </w:tc>
      </w:tr>
      <w:tr>
        <w:trPr>
          <w:cantSplit/>
        </w:trPr>
        <w:tc>
          <w:tcPr>
            <w:tcW w:type="dxa" w:w="113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Q042</w:t>
            </w:r>
          </w:p>
        </w:tc>
        <w:tc>
          <w:tcPr>
            <w:tcW w:type="dxa" w:w="867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Quelle règle déclenche le transfert inter-entrepôts et qui crée/suit ses demandes ?</w:t>
            </w:r>
          </w:p>
        </w:tc>
      </w:tr>
      <w:tr>
        <w:trPr>
          <w:cantSplit/>
        </w:trPr>
        <w:tc>
          <w:tcPr>
            <w:tcW w:type="dxa" w:w="113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Q043</w:t>
            </w:r>
          </w:p>
        </w:tc>
        <w:tc>
          <w:tcPr>
            <w:tcW w:type="dxa" w:w="867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Quels retours d’état sont adressés au commerce et qui décide la reprise après file d’erreur ?</w:t>
            </w:r>
          </w:p>
        </w:tc>
      </w:tr>
      <w:tr>
        <w:trPr>
          <w:cantSplit/>
        </w:trPr>
        <w:tc>
          <w:tcPr>
            <w:tcW w:type="dxa" w:w="113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Q044</w:t>
            </w:r>
          </w:p>
        </w:tc>
        <w:tc>
          <w:tcPr>
            <w:tcW w:type="dxa" w:w="867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Quels outils réalisent les opérations entrepôt/transport et comment se relient-ils à Crossroad ?</w:t>
            </w:r>
          </w:p>
        </w:tc>
      </w:tr>
      <w:tr>
        <w:trPr>
          <w:cantSplit/>
        </w:trPr>
        <w:tc>
          <w:tcPr>
            <w:tcW w:type="dxa" w:w="113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Q045</w:t>
            </w:r>
          </w:p>
        </w:tc>
        <w:tc>
          <w:tcPr>
            <w:tcW w:type="dxa" w:w="867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Quel parcours suit une commande Elastic après sa saisie, jusqu’à réservation, livraison et SAV ?</w:t>
            </w:r>
          </w:p>
        </w:tc>
      </w:tr>
      <w:tr>
        <w:trPr>
          <w:cantSplit/>
        </w:trPr>
        <w:tc>
          <w:tcPr>
            <w:tcW w:type="dxa" w:w="113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Q046</w:t>
            </w:r>
          </w:p>
        </w:tc>
        <w:tc>
          <w:tcPr>
            <w:tcW w:type="dxa" w:w="867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Quels modèles commerciaux couvrent les marketplaces B2B et quelles interfaces/conditions les distinguent ?</w:t>
            </w:r>
          </w:p>
        </w:tc>
      </w:tr>
      <w:tr>
        <w:trPr>
          <w:cantSplit/>
        </w:trPr>
        <w:tc>
          <w:tcPr>
            <w:tcW w:type="dxa" w:w="113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Q047</w:t>
            </w:r>
          </w:p>
        </w:tc>
        <w:tc>
          <w:tcPr>
            <w:tcW w:type="dxa" w:w="867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Quels autres modèles éventuels coexistent avec la revente B2C décrite ?</w:t>
            </w:r>
          </w:p>
        </w:tc>
      </w:tr>
      <w:tr>
        <w:trPr>
          <w:cantSplit/>
        </w:trPr>
        <w:tc>
          <w:tcPr>
            <w:tcW w:type="dxa" w:w="113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Q048</w:t>
            </w:r>
          </w:p>
        </w:tc>
        <w:tc>
          <w:tcPr>
            <w:tcW w:type="dxa" w:w="867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Quelles capacités, règles, informations et pratiques expliquent la force du SAV ?</w:t>
            </w:r>
          </w:p>
        </w:tc>
      </w:tr>
      <w:tr>
        <w:trPr>
          <w:cantSplit/>
        </w:trPr>
        <w:tc>
          <w:tcPr>
            <w:tcW w:type="dxa" w:w="113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Q049</w:t>
            </w:r>
          </w:p>
        </w:tc>
        <w:tc>
          <w:tcPr>
            <w:tcW w:type="dxa" w:w="867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Quelles décisions, engagements, intrants et résultats composent l’Allocation Run réellement installé ?</w:t>
            </w:r>
          </w:p>
        </w:tc>
      </w:tr>
      <w:tr>
        <w:trPr>
          <w:cantSplit/>
        </w:trPr>
        <w:tc>
          <w:tcPr>
            <w:tcW w:type="dxa" w:w="113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Q050</w:t>
            </w:r>
          </w:p>
        </w:tc>
        <w:tc>
          <w:tcPr>
            <w:tcW w:type="dxa" w:w="867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Quelles règles doivent être communes, contextualisées, déléguées ou distinctes ?</w:t>
            </w:r>
          </w:p>
        </w:tc>
      </w:tr>
      <w:tr>
        <w:trPr>
          <w:cantSplit/>
        </w:trPr>
        <w:tc>
          <w:tcPr>
            <w:tcW w:type="dxa" w:w="113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Q051</w:t>
            </w:r>
          </w:p>
        </w:tc>
        <w:tc>
          <w:tcPr>
            <w:tcW w:type="dxa" w:w="867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Comment articuler coordination transverse et coordinations internes, notamment C-Log ?</w:t>
            </w:r>
          </w:p>
        </w:tc>
      </w:tr>
      <w:tr>
        <w:trPr>
          <w:cantSplit/>
        </w:trPr>
        <w:tc>
          <w:tcPr>
            <w:tcW w:type="dxa" w:w="113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Q052</w:t>
            </w:r>
          </w:p>
        </w:tc>
        <w:tc>
          <w:tcPr>
            <w:tcW w:type="dxa" w:w="867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Le rappel “commande = état de la Demande” doit-il devenir une convention du présent modèle ?</w:t>
            </w:r>
          </w:p>
        </w:tc>
      </w:tr>
      <w:tr>
        <w:trPr>
          <w:cantSplit/>
        </w:trPr>
        <w:tc>
          <w:tcPr>
            <w:tcW w:type="dxa" w:w="113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Q053</w:t>
            </w:r>
          </w:p>
        </w:tc>
        <w:tc>
          <w:tcPr>
            <w:tcW w:type="dxa" w:w="867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Quel support de gouvernance et quel rythme d’approbation adopter après v0.1 ?</w:t>
            </w:r>
          </w:p>
        </w:tc>
      </w:tr>
    </w:tbl>
    <w:p>
      <w:pPr>
        <w:pStyle w:val="Heading2"/>
        <w:keepNext/>
      </w:pPr>
      <w:r>
        <w:rPr>
          <w:b w:val="0"/>
          <w:i w:val="0"/>
        </w:rPr>
        <w:t>Questions résolues : ne pas les rouvrir par oubli</w:t>
      </w:r>
    </w:p>
    <w:tbl>
      <w:tblPr>
        <w:tblStyle w:val="TableGrid"/>
        <w:tblW w:type="auto" w:w="0"/>
        <w:jc w:val="center"/>
        <w:tblLayout w:type="fixed"/>
        <w:tblLook w:firstColumn="1" w:firstRow="1" w:lastColumn="0" w:lastRow="0" w:noHBand="0" w:noVBand="1" w:val="04A0"/>
        <w:tblBorders>
          <w:top w:val="single" w:sz="4" w:color="D8E2E7"/>
          <w:left w:val="single" w:sz="4" w:color="D8E2E7"/>
          <w:bottom w:val="single" w:sz="4" w:color="D8E2E7"/>
          <w:right w:val="single" w:sz="4" w:color="D8E2E7"/>
          <w:insideH w:val="single" w:sz="4" w:color="D8E2E7"/>
          <w:insideV w:val="single" w:sz="4" w:color="D8E2E7"/>
        </w:tblBorders>
      </w:tblPr>
      <w:tblGrid>
        <w:gridCol w:w="1134"/>
        <w:gridCol w:w="8674"/>
      </w:tblGrid>
      <w:tr>
        <w:trPr>
          <w:cantSplit/>
          <w:tblHeader w:val="true"/>
        </w:trPr>
        <w:tc>
          <w:tcPr>
            <w:tcW w:type="dxa" w:w="1134"/>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ID</w:t>
            </w:r>
          </w:p>
        </w:tc>
        <w:tc>
          <w:tcPr>
            <w:tcW w:type="dxa" w:w="8674"/>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Réponse acquise</w:t>
            </w:r>
          </w:p>
        </w:tc>
      </w:tr>
      <w:tr>
        <w:trPr>
          <w:cantSplit/>
        </w:trPr>
        <w:tc>
          <w:tcPr>
            <w:tcW w:type="dxa" w:w="113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Q054</w:t>
            </w:r>
          </w:p>
        </w:tc>
        <w:tc>
          <w:tcPr>
            <w:tcW w:type="dxa" w:w="867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Non : seule la demande magasin est annulée ; commande client conservée.</w:t>
            </w:r>
          </w:p>
        </w:tc>
      </w:tr>
      <w:tr>
        <w:trPr>
          <w:cantSplit/>
        </w:trPr>
        <w:tc>
          <w:tcPr>
            <w:tcW w:type="dxa" w:w="113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Q055</w:t>
            </w:r>
          </w:p>
        </w:tc>
        <w:tc>
          <w:tcPr>
            <w:tcW w:type="dxa" w:w="867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SCORTEX.</w:t>
            </w:r>
          </w:p>
        </w:tc>
      </w:tr>
      <w:tr>
        <w:trPr>
          <w:cantSplit/>
        </w:trPr>
        <w:tc>
          <w:tcPr>
            <w:tcW w:type="dxa" w:w="113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Q056</w:t>
            </w:r>
          </w:p>
        </w:tc>
        <w:tc>
          <w:tcPr>
            <w:tcW w:type="dxa" w:w="867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KBRW ; Crossroad.</w:t>
            </w:r>
          </w:p>
        </w:tc>
      </w:tr>
      <w:tr>
        <w:trPr>
          <w:cantSplit/>
        </w:trPr>
        <w:tc>
          <w:tcPr>
            <w:tcW w:type="dxa" w:w="113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Q057</w:t>
            </w:r>
          </w:p>
        </w:tc>
        <w:tc>
          <w:tcPr>
            <w:tcW w:type="dxa" w:w="867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MAP crée la demande ; CBS suit les opérations amont décrites.</w:t>
            </w:r>
          </w:p>
        </w:tc>
      </w:tr>
      <w:tr>
        <w:trPr>
          <w:cantSplit/>
        </w:trPr>
        <w:tc>
          <w:tcPr>
            <w:tcW w:type="dxa" w:w="113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Q058</w:t>
            </w:r>
          </w:p>
        </w:tc>
        <w:tc>
          <w:tcPr>
            <w:tcW w:type="dxa" w:w="867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Non dans la politique décrite ; ordre d’arrivée.</w:t>
            </w:r>
          </w:p>
        </w:tc>
      </w:tr>
      <w:tr>
        <w:trPr>
          <w:cantSplit/>
        </w:trPr>
        <w:tc>
          <w:tcPr>
            <w:tcW w:type="dxa" w:w="113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Q059</w:t>
            </w:r>
          </w:p>
        </w:tc>
        <w:tc>
          <w:tcPr>
            <w:tcW w:type="dxa" w:w="867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MAP recalcule et republie en annule et remplace ; détails ouverts.</w:t>
            </w:r>
          </w:p>
        </w:tc>
      </w:tr>
      <w:tr>
        <w:trPr>
          <w:cantSplit/>
        </w:trPr>
        <w:tc>
          <w:tcPr>
            <w:tcW w:type="dxa" w:w="113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Q060</w:t>
            </w:r>
          </w:p>
        </w:tc>
        <w:tc>
          <w:tcPr>
            <w:tcW w:type="dxa" w:w="867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Non : intégrer ces notions au niveau pertinent de l’urbanisme.</w:t>
            </w:r>
          </w:p>
        </w:tc>
      </w:tr>
      <w:tr>
        <w:trPr>
          <w:cantSplit/>
        </w:trPr>
        <w:tc>
          <w:tcPr>
            <w:tcW w:type="dxa" w:w="113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Q061</w:t>
            </w:r>
          </w:p>
        </w:tc>
        <w:tc>
          <w:tcPr>
            <w:tcW w:type="dxa" w:w="867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Non dans le fil ; le dossier 0.1 est créé à la demande U13.</w:t>
            </w:r>
          </w:p>
        </w:tc>
      </w:tr>
    </w:tbl>
    <w:p>
      <w:pPr>
        <w:pStyle w:val="Heading2"/>
        <w:keepNext/>
      </w:pPr>
      <w:r>
        <w:rPr>
          <w:b w:val="0"/>
          <w:i w:val="0"/>
        </w:rPr>
        <w:t>Prochaine itération proposée, sans la préjuger</w:t>
      </w:r>
    </w:p>
    <w:p>
      <w:pPr/>
      <w:r>
        <w:rPr>
          <w:b w:val="0"/>
          <w:i w:val="0"/>
        </w:rPr>
        <w:t>La collecte GBM permet déjà de tester la nomenclature sur trois ensembles : réassort IRMA/Storeland ; protections et révisions MAP avec suivi CBS ; prise en charge d’une vente et frontière C-Log. Le prochain travail de modélisation peut comparer deux ou trois formes de décomposition sur ces mêmes faits, avant d’étendre le catalogue.</w:t>
      </w:r>
    </w:p>
    <w:p>
      <w:pPr/>
      <w:r>
        <w:rPr>
          <w:b w:val="0"/>
          <w:i w:val="0"/>
        </w:rPr>
        <w:t>Il est inutile de sélectionner maintenant un BPM, un OMS ou un stockage cible. Les questions prioritaires concernent les frontières de résultat, l’autorité de l’information applicable et les engagements qui peuvent être pris ou révisés. La comparaison BRD/Sarenza reste à mener ; leurs parcours ne seront pas reconstruits à partir de GBM.</w:t>
      </w:r>
    </w:p>
    <w:p>
      <w:pPr>
        <w:pStyle w:val="Heading1"/>
        <w:keepNext/>
        <w:spacing w:before="360"/>
      </w:pPr>
      <w:r>
        <w:rPr>
          <w:b w:val="0"/>
          <w:i w:val="0"/>
        </w:rPr>
        <w:t>17 — Sources, contrôle d’exhaustivité et gestion des versions</w:t>
      </w:r>
    </w:p>
    <w:p>
      <w:pPr>
        <w:pStyle w:val="Heading2"/>
        <w:keepNext/>
      </w:pPr>
      <w:r>
        <w:rPr>
          <w:b w:val="0"/>
          <w:i w:val="0"/>
        </w:rPr>
        <w:t>Corpus retenu</w:t>
      </w:r>
    </w:p>
    <w:p>
      <w:pPr/>
      <w:r>
        <w:rPr>
          <w:b w:val="0"/>
          <w:i w:val="0"/>
        </w:rPr>
        <w:t xml:space="preserve">Le corpus utilisateur comprend U01 à U13, dans l’ordre du fil. Son verbatim est livré dans </w:t>
      </w:r>
      <w:r>
        <w:rPr>
          <w:b w:val="0"/>
          <w:i w:val="0"/>
          <w:sz w:val="18"/>
        </w:rPr>
        <w:t>02_sources/Contributions_utilisateur_verbatim.md</w:t>
      </w:r>
      <w:r>
        <w:rPr>
          <w:b w:val="0"/>
          <w:i w:val="0"/>
        </w:rPr>
        <w:t>, y compris les formulations corrigées et les deux relances signalant l’absence de réponse. La réponse « Oui » est rattachée à la question A04 sur l’annulation magasin, pour ne pas perdre son sens.</w:t>
      </w:r>
    </w:p>
    <w:p>
      <w:pPr/>
      <w:r>
        <w:rPr>
          <w:b w:val="0"/>
          <w:i w:val="0"/>
        </w:rPr>
        <w:t>Les interventions substantielles de l’assistant A01 à A09 sont consolidées dans un fichier séparé et dans 56 propositions. Le dossier ne se présente pas comme un export littéral de tous les messages assistant : il conserve leur contenu de méthode, exemples, options, réserves, citations et corrections. Les phrases finales tronquées et citations défectueuses ne sont pas complétées par invention.</w:t>
      </w:r>
    </w:p>
    <w:p>
      <w:pPr/>
      <w:r>
        <w:rPr>
          <w:b w:val="0"/>
          <w:i w:val="0"/>
        </w:rPr>
        <w:t>Aucune information personnelle ou décision issue d’autres conversations n’a été importée comme fait du projet. Le rappel de doctrine Demande/Commande est explicitement étiqueté comme proposition de l’assistant, non confirmation utilisateur dans ce fil. Les références externes ne complètent pas par hypothèse les configurations internes.</w:t>
      </w:r>
    </w:p>
    <w:tbl>
      <w:tblPr>
        <w:tblStyle w:val="TableGrid"/>
        <w:tblW w:type="auto" w:w="0"/>
        <w:jc w:val="center"/>
        <w:tblLayout w:type="fixed"/>
        <w:tblLook w:firstColumn="1" w:firstRow="1" w:lastColumn="0" w:lastRow="0" w:noHBand="0" w:noVBand="1" w:val="04A0"/>
        <w:tblBorders>
          <w:top w:val="single" w:sz="4" w:color="D8E2E7"/>
          <w:left w:val="single" w:sz="4" w:color="D8E2E7"/>
          <w:bottom w:val="single" w:sz="4" w:color="D8E2E7"/>
          <w:right w:val="single" w:sz="4" w:color="D8E2E7"/>
          <w:insideH w:val="single" w:sz="4" w:color="D8E2E7"/>
          <w:insideV w:val="single" w:sz="4" w:color="D8E2E7"/>
        </w:tblBorders>
      </w:tblPr>
      <w:tblGrid>
        <w:gridCol w:w="1134"/>
        <w:gridCol w:w="8674"/>
      </w:tblGrid>
      <w:tr>
        <w:trPr>
          <w:cantSplit/>
          <w:tblHeader w:val="true"/>
        </w:trPr>
        <w:tc>
          <w:tcPr>
            <w:tcW w:type="dxa" w:w="1134"/>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Contribution</w:t>
            </w:r>
          </w:p>
        </w:tc>
        <w:tc>
          <w:tcPr>
            <w:tcW w:type="dxa" w:w="8674"/>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Éléments conservés</w:t>
            </w:r>
          </w:p>
        </w:tc>
      </w:tr>
      <w:tr>
        <w:trPr>
          <w:cantSplit/>
        </w:trPr>
        <w:tc>
          <w:tcPr>
            <w:tcW w:type="dxa" w:w="113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U01</w:t>
            </w:r>
          </w:p>
        </w:tc>
        <w:tc>
          <w:tcPr>
            <w:tcW w:type="dxa" w:w="867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Cadrage complet, exclusions, standards, options, trois SI, niveaux et livrables.</w:t>
            </w:r>
          </w:p>
        </w:tc>
      </w:tr>
      <w:tr>
        <w:trPr>
          <w:cantSplit/>
        </w:trPr>
        <w:tc>
          <w:tcPr>
            <w:tcW w:type="dxa" w:w="113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U02</w:t>
            </w:r>
          </w:p>
        </w:tc>
        <w:tc>
          <w:tcPr>
            <w:tcW w:type="dxa" w:w="867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Accord méthode, deux plateformes, proportions, BRD/ARun, Sarenza revente/SAV.</w:t>
            </w:r>
          </w:p>
        </w:tc>
      </w:tr>
      <w:tr>
        <w:trPr>
          <w:cantSplit/>
        </w:trPr>
        <w:tc>
          <w:tcPr>
            <w:tcW w:type="dxa" w:w="113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U03</w:t>
            </w:r>
          </w:p>
        </w:tc>
        <w:tc>
          <w:tcPr>
            <w:tcW w:type="dxa" w:w="867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Instances, stocks, POS, UR, Socloz, Talend, B2B, achats/documents.</w:t>
            </w:r>
          </w:p>
        </w:tc>
      </w:tr>
      <w:tr>
        <w:trPr>
          <w:cantSplit/>
        </w:trPr>
        <w:tc>
          <w:tcPr>
            <w:tcW w:type="dxa" w:w="113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U04</w:t>
            </w:r>
          </w:p>
        </w:tc>
        <w:tc>
          <w:tcPr>
            <w:tcW w:type="dxa" w:w="867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Parcours complet, 15 minutes, quotas, classement, escalade incertaine, intervention humaine.</w:t>
            </w:r>
          </w:p>
        </w:tc>
      </w:tr>
      <w:tr>
        <w:trPr>
          <w:cantSplit/>
        </w:trPr>
        <w:tc>
          <w:tcPr>
            <w:tcW w:type="dxa" w:w="113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U05</w:t>
            </w:r>
          </w:p>
        </w:tc>
        <w:tc>
          <w:tcPr>
            <w:tcW w:type="dxa" w:w="867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Oui contextualisé par la question A04 : annulation demande magasin uniquement.</w:t>
            </w:r>
          </w:p>
        </w:tc>
      </w:tr>
      <w:tr>
        <w:trPr>
          <w:cantSplit/>
        </w:trPr>
        <w:tc>
          <w:tcPr>
            <w:tcW w:type="dxa" w:w="113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U06</w:t>
            </w:r>
          </w:p>
        </w:tc>
        <w:tc>
          <w:tcPr>
            <w:tcW w:type="dxa" w:w="867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SKU, IRMA/SCORTEX, EDI, prestations, choix, transfert, suivi/file d’erreur.</w:t>
            </w:r>
          </w:p>
        </w:tc>
      </w:tr>
      <w:tr>
        <w:trPr>
          <w:cantSplit/>
        </w:trPr>
        <w:tc>
          <w:tcPr>
            <w:tcW w:type="dxa" w:w="113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U07</w:t>
            </w:r>
          </w:p>
        </w:tc>
        <w:tc>
          <w:tcPr>
            <w:tcW w:type="dxa" w:w="867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KBRW/Crossroad, SCORTEX, responsabilités information/décision, autonomie C-Log.</w:t>
            </w:r>
          </w:p>
        </w:tc>
      </w:tr>
      <w:tr>
        <w:trPr>
          <w:cantSplit/>
        </w:trPr>
        <w:tc>
          <w:tcPr>
            <w:tcW w:type="dxa" w:w="113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U08</w:t>
            </w:r>
          </w:p>
        </w:tc>
        <w:tc>
          <w:tcPr>
            <w:tcW w:type="dxa" w:w="867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Relance conservée intégralement, sans fait métier ajouté.</w:t>
            </w:r>
          </w:p>
        </w:tc>
      </w:tr>
      <w:tr>
        <w:trPr>
          <w:cantSplit/>
        </w:trPr>
        <w:tc>
          <w:tcPr>
            <w:tcW w:type="dxa" w:w="113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U09</w:t>
            </w:r>
          </w:p>
        </w:tc>
        <w:tc>
          <w:tcPr>
            <w:tcW w:type="dxa" w:w="867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Business Capabilities toujours centrales ; niveau pertinent non figé.</w:t>
            </w:r>
          </w:p>
        </w:tc>
      </w:tr>
      <w:tr>
        <w:trPr>
          <w:cantSplit/>
        </w:trPr>
        <w:tc>
          <w:tcPr>
            <w:tcW w:type="dxa" w:w="113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U10</w:t>
            </w:r>
          </w:p>
        </w:tc>
        <w:tc>
          <w:tcPr>
            <w:tcW w:type="dxa" w:w="867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MAP trois niveaux, CBS, hypothèse Snowflake, trois cas allocation, FIFO/mauvais payeur.</w:t>
            </w:r>
          </w:p>
        </w:tc>
      </w:tr>
      <w:tr>
        <w:trPr>
          <w:cantSplit/>
        </w:trPr>
        <w:tc>
          <w:tcPr>
            <w:tcW w:type="dxa" w:w="113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U11</w:t>
            </w:r>
          </w:p>
        </w:tc>
        <w:tc>
          <w:tcPr>
            <w:tcW w:type="dxa" w:w="867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Question stockage ; transparence sur absence de dossier préexistant.</w:t>
            </w:r>
          </w:p>
        </w:tc>
      </w:tr>
      <w:tr>
        <w:trPr>
          <w:cantSplit/>
        </w:trPr>
        <w:tc>
          <w:tcPr>
            <w:tcW w:type="dxa" w:w="113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U12</w:t>
            </w:r>
          </w:p>
        </w:tc>
        <w:tc>
          <w:tcPr>
            <w:tcW w:type="dxa" w:w="867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Seconde relance conservée intégralement.</w:t>
            </w:r>
          </w:p>
        </w:tc>
      </w:tr>
      <w:tr>
        <w:trPr>
          <w:cantSplit/>
        </w:trPr>
        <w:tc>
          <w:tcPr>
            <w:tcW w:type="dxa" w:w="113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U13</w:t>
            </w:r>
          </w:p>
        </w:tc>
        <w:tc>
          <w:tcPr>
            <w:tcW w:type="dxa" w:w="867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Livraison effective du dossier exhaustif, pas annonce d’un travail futur.</w:t>
            </w:r>
          </w:p>
        </w:tc>
      </w:tr>
    </w:tbl>
    <w:p>
      <w:pPr>
        <w:pStyle w:val="Heading2"/>
        <w:keepNext/>
      </w:pPr>
      <w:r>
        <w:rPr>
          <w:b w:val="0"/>
          <w:i w:val="0"/>
        </w:rPr>
        <w:t>Registres et règles de maintenance</w:t>
      </w:r>
    </w:p>
    <w:tbl>
      <w:tblPr>
        <w:tblStyle w:val="TableGrid"/>
        <w:tblW w:type="auto" w:w="0"/>
        <w:jc w:val="center"/>
        <w:tblLayout w:type="fixed"/>
        <w:tblLook w:firstColumn="1" w:firstRow="1" w:lastColumn="0" w:lastRow="0" w:noHBand="0" w:noVBand="1" w:val="04A0"/>
        <w:tblBorders>
          <w:top w:val="single" w:sz="4" w:color="D8E2E7"/>
          <w:left w:val="single" w:sz="4" w:color="D8E2E7"/>
          <w:bottom w:val="single" w:sz="4" w:color="D8E2E7"/>
          <w:right w:val="single" w:sz="4" w:color="D8E2E7"/>
          <w:insideH w:val="single" w:sz="4" w:color="D8E2E7"/>
          <w:insideV w:val="single" w:sz="4" w:color="D8E2E7"/>
        </w:tblBorders>
      </w:tblPr>
      <w:tblGrid>
        <w:gridCol w:w="2948"/>
        <w:gridCol w:w="964"/>
        <w:gridCol w:w="5896"/>
      </w:tblGrid>
      <w:tr>
        <w:trPr>
          <w:cantSplit/>
          <w:tblHeader w:val="true"/>
        </w:trPr>
        <w:tc>
          <w:tcPr>
            <w:tcW w:type="dxa" w:w="2948"/>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Registre</w:t>
            </w:r>
          </w:p>
        </w:tc>
        <w:tc>
          <w:tcPr>
            <w:tcW w:type="dxa" w:w="964"/>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Nombre</w:t>
            </w:r>
          </w:p>
        </w:tc>
        <w:tc>
          <w:tcPr>
            <w:tcW w:type="dxa" w:w="5896"/>
            <w:vAlign w:val="top"/>
            <w:tcMar>
              <w:top w:w="60" w:type="dxa"/>
              <w:bottom w:w="60" w:type="dxa"/>
              <w:left w:w="85" w:type="dxa"/>
              <w:right w:w="85" w:type="dxa"/>
            </w:tcMar>
            <w:shd w:fill="173247"/>
          </w:tcPr>
          <w:p>
            <w:pPr>
              <w:keepNext/>
              <w:widowControl/>
              <w:spacing w:before="0" w:after="40" w:line="250" w:lineRule="auto"/>
            </w:pPr>
            <w:r>
              <w:rPr>
                <w:rFonts w:ascii="Noto Sans" w:hAnsi="Noto Sans"/>
                <w:b/>
                <w:i w:val="0"/>
                <w:color w:val="FFFFFF"/>
                <w:sz w:val="18"/>
              </w:rPr>
              <w:t>Fonction</w:t>
            </w:r>
          </w:p>
        </w:tc>
      </w:tr>
      <w:tr>
        <w:trPr>
          <w:cantSplit/>
        </w:trPr>
        <w:tc>
          <w:tcPr>
            <w:tcW w:type="dxa" w:w="294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Assertions F</w:t>
            </w:r>
          </w:p>
        </w:tc>
        <w:tc>
          <w:tcPr>
            <w:tcW w:type="dxa" w:w="96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102</w:t>
            </w:r>
          </w:p>
        </w:tc>
        <w:tc>
          <w:tcPr>
            <w:tcW w:type="dxa" w:w="5896"/>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Faits, exigences et incertitudes, avec source et périmètre.</w:t>
            </w:r>
          </w:p>
        </w:tc>
      </w:tr>
      <w:tr>
        <w:trPr>
          <w:cantSplit/>
        </w:trPr>
        <w:tc>
          <w:tcPr>
            <w:tcW w:type="dxa" w:w="294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Propositions P</w:t>
            </w:r>
          </w:p>
        </w:tc>
        <w:tc>
          <w:tcPr>
            <w:tcW w:type="dxa" w:w="96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56</w:t>
            </w:r>
          </w:p>
        </w:tc>
        <w:tc>
          <w:tcPr>
            <w:tcW w:type="dxa" w:w="5896"/>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Options et interprétations non validées implicitement.</w:t>
            </w:r>
          </w:p>
        </w:tc>
      </w:tr>
      <w:tr>
        <w:trPr>
          <w:cantSplit/>
        </w:trPr>
        <w:tc>
          <w:tcPr>
            <w:tcW w:type="dxa" w:w="294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Corrections C</w:t>
            </w:r>
          </w:p>
        </w:tc>
        <w:tc>
          <w:tcPr>
            <w:tcW w:type="dxa" w:w="96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27</w:t>
            </w:r>
          </w:p>
        </w:tc>
        <w:tc>
          <w:tcPr>
            <w:tcW w:type="dxa" w:w="5896"/>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Historique des formulations corrigées et limites à maintenir.</w:t>
            </w:r>
          </w:p>
        </w:tc>
      </w:tr>
      <w:tr>
        <w:trPr>
          <w:cantSplit/>
        </w:trPr>
        <w:tc>
          <w:tcPr>
            <w:tcW w:type="dxa" w:w="294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Questions Q</w:t>
            </w:r>
          </w:p>
        </w:tc>
        <w:tc>
          <w:tcPr>
            <w:tcW w:type="dxa" w:w="96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61</w:t>
            </w:r>
          </w:p>
        </w:tc>
        <w:tc>
          <w:tcPr>
            <w:tcW w:type="dxa" w:w="5896"/>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53 ouvertes ; 8 résolues.</w:t>
            </w:r>
          </w:p>
        </w:tc>
      </w:tr>
      <w:tr>
        <w:trPr>
          <w:cantSplit/>
        </w:trPr>
        <w:tc>
          <w:tcPr>
            <w:tcW w:type="dxa" w:w="294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Composants / organisations</w:t>
            </w:r>
          </w:p>
        </w:tc>
        <w:tc>
          <w:tcPr>
            <w:tcW w:type="dxa" w:w="96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20</w:t>
            </w:r>
          </w:p>
        </w:tc>
        <w:tc>
          <w:tcPr>
            <w:tcW w:type="dxa" w:w="5896"/>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Inclut une mention achats à rapprocher, pas un système distinct affirmé.</w:t>
            </w:r>
          </w:p>
        </w:tc>
      </w:tr>
      <w:tr>
        <w:trPr>
          <w:cantSplit/>
        </w:trPr>
        <w:tc>
          <w:tcPr>
            <w:tcW w:type="dxa" w:w="294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Flux / dépendances FL</w:t>
            </w:r>
          </w:p>
        </w:tc>
        <w:tc>
          <w:tcPr>
            <w:tcW w:type="dxa" w:w="96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21</w:t>
            </w:r>
          </w:p>
        </w:tc>
        <w:tc>
          <w:tcPr>
            <w:tcW w:type="dxa" w:w="5896"/>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Distingue interface décrite et relation fonctionnelle.</w:t>
            </w:r>
          </w:p>
        </w:tc>
      </w:tr>
      <w:tr>
        <w:trPr>
          <w:cantSplit/>
        </w:trPr>
        <w:tc>
          <w:tcPr>
            <w:tcW w:type="dxa" w:w="294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Autorités INF / décisions DEC</w:t>
            </w:r>
          </w:p>
        </w:tc>
        <w:tc>
          <w:tcPr>
            <w:tcW w:type="dxa" w:w="96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17 / 20</w:t>
            </w:r>
          </w:p>
        </w:tc>
        <w:tc>
          <w:tcPr>
            <w:tcW w:type="dxa" w:w="5896"/>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Vues analytiques de réalisation, avec inconnues.</w:t>
            </w:r>
          </w:p>
        </w:tc>
      </w:tr>
      <w:tr>
        <w:trPr>
          <w:cantSplit/>
        </w:trPr>
        <w:tc>
          <w:tcPr>
            <w:tcW w:type="dxa" w:w="2948"/>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Capacités candidates CAP</w:t>
            </w:r>
          </w:p>
        </w:tc>
        <w:tc>
          <w:tcPr>
            <w:tcW w:type="dxa" w:w="964"/>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35</w:t>
            </w:r>
          </w:p>
        </w:tc>
        <w:tc>
          <w:tcPr>
            <w:tcW w:type="dxa" w:w="5896"/>
            <w:vAlign w:val="top"/>
            <w:tcMar>
              <w:top w:w="60" w:type="dxa"/>
              <w:bottom w:w="60" w:type="dxa"/>
              <w:left w:w="85" w:type="dxa"/>
              <w:right w:w="85" w:type="dxa"/>
            </w:tcMar>
            <w:shd w:fill="F2F6F8"/>
          </w:tcPr>
          <w:p>
            <w:pPr>
              <w:keepNext w:val="0"/>
              <w:widowControl/>
              <w:spacing w:before="0" w:after="40" w:line="250" w:lineRule="auto"/>
            </w:pPr>
            <w:r>
              <w:rPr>
                <w:rFonts w:ascii="Noto Sans" w:hAnsi="Noto Sans"/>
                <w:b w:val="0"/>
                <w:i w:val="0"/>
                <w:color w:val="173247"/>
                <w:sz w:val="18"/>
              </w:rPr>
              <w:t>Sans hiérarchie ni couverture cible approuvée.</w:t>
            </w:r>
          </w:p>
        </w:tc>
      </w:tr>
      <w:tr>
        <w:trPr>
          <w:cantSplit/>
        </w:trPr>
        <w:tc>
          <w:tcPr>
            <w:tcW w:type="dxa" w:w="2948"/>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Références externes R</w:t>
            </w:r>
          </w:p>
        </w:tc>
        <w:tc>
          <w:tcPr>
            <w:tcW w:type="dxa" w:w="964"/>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29</w:t>
            </w:r>
          </w:p>
        </w:tc>
        <w:tc>
          <w:tcPr>
            <w:tcW w:type="dxa" w:w="5896"/>
            <w:vAlign w:val="top"/>
            <w:tcMar>
              <w:top w:w="60" w:type="dxa"/>
              <w:bottom w:w="60" w:type="dxa"/>
              <w:left w:w="85" w:type="dxa"/>
              <w:right w:w="85" w:type="dxa"/>
            </w:tcMar>
            <w:shd w:fill="FFFFFF"/>
          </w:tcPr>
          <w:p>
            <w:pPr>
              <w:keepNext w:val="0"/>
              <w:widowControl/>
              <w:spacing w:before="0" w:after="40" w:line="250" w:lineRule="auto"/>
            </w:pPr>
            <w:r>
              <w:rPr>
                <w:rFonts w:ascii="Noto Sans" w:hAnsi="Noto Sans"/>
                <w:b w:val="0"/>
                <w:i w:val="0"/>
                <w:color w:val="173247"/>
                <w:sz w:val="18"/>
              </w:rPr>
              <w:t>Sources consultées, historiques ou inaccessibles, avec limites explicites.</w:t>
            </w:r>
          </w:p>
        </w:tc>
      </w:tr>
    </w:tbl>
    <w:p>
      <w:pPr/>
      <w:r>
        <w:rPr>
          <w:b w:val="0"/>
          <w:i w:val="0"/>
        </w:rPr>
        <w:t>Le référentiel JSON est la base structurée de cette livraison ; ses vues Markdown et le dossier de lecture sont des exports du même état documentaire. En cas d’évolution, conserver les identifiants, ajouter les nouvelles sources, indiquer ce qui remplace une ancienne interprétation et incrémenter la version. Une nouvelle hypothèse ne doit jamais écraser silencieusement un fait ou une réserve.</w:t>
      </w:r>
    </w:p>
    <w:p>
      <w:pPr/>
      <w:r>
        <w:rPr>
          <w:b w:val="0"/>
          <w:i w:val="0"/>
        </w:rPr>
        <w:t xml:space="preserve">Avant cette livraison, le fil ne disposait que de la conversation et de notes de mémoire ; aucun fichier maître n’avait été créé. La version 0.1 est maintenant un artefact effectif, mais </w:t>
      </w:r>
      <w:r>
        <w:rPr>
          <w:b/>
          <w:i w:val="0"/>
        </w:rPr>
        <w:t>aucun dépôt distant, ajout automatique aux sources du projet ou mécanisme de mise à jour continue n’est revendiqué</w:t>
      </w:r>
      <w:r>
        <w:rPr>
          <w:b w:val="0"/>
          <w:i w:val="0"/>
        </w:rPr>
        <w:t xml:space="preserve">. Les fichiers doivent être conservés comme référence de travail ; une future version correspondra à une modification explicite. Les réglages de mémoire du compte ne sont pas supposés connus. </w:t>
      </w:r>
      <w:r>
        <w:rPr>
          <w:b w:val="0"/>
          <w:i w:val="0"/>
        </w:rPr>
        <w:t>[</w:t>
      </w:r>
      <w:r>
        <w:rPr>
          <w:b w:val="0"/>
          <w:i w:val="0"/>
        </w:rPr>
        <w:t>A08–A09 ; C24 ; R28–R29]</w:t>
      </w:r>
    </w:p>
    <w:p>
      <w:pPr>
        <w:pStyle w:val="Heading2"/>
        <w:keepNext/>
      </w:pPr>
      <w:r>
        <w:rPr>
          <w:b w:val="0"/>
          <w:i w:val="0"/>
        </w:rPr>
        <w:t>Bibliographie conservée et contrôle de disponibilité</w:t>
      </w:r>
    </w:p>
    <w:p>
      <w:pPr/>
      <w:r>
        <w:rPr>
          <w:b w:val="0"/>
          <w:i w:val="0"/>
        </w:rPr>
        <w:t xml:space="preserve">Les notices détaillées, URL complètes et statuts de vérification figurent dans </w:t>
      </w:r>
      <w:r>
        <w:rPr>
          <w:b w:val="0"/>
          <w:i w:val="0"/>
          <w:sz w:val="18"/>
        </w:rPr>
        <w:t>02_sources/references_externes.md</w:t>
      </w:r>
      <w:r>
        <w:rPr>
          <w:b w:val="0"/>
          <w:i w:val="0"/>
        </w:rPr>
        <w:t>. Les références sont conservées pour la traçabilité même lorsqu’elles ne constituent pas une preuve suffisante. Aucune reproduction intégrale de documentation éditeur n’est jointe. Les références R28–R29 restent historiques dans cette consolidation ; elles ne servent pas à affirmer une capacité ou un réglage actuel du produit ChatGPT.</w:t>
      </w:r>
    </w:p>
    <w:p>
      <w:pPr>
        <w:keepNext/>
      </w:pPr>
      <w:r>
        <w:rPr>
          <w:b/>
          <w:i w:val="0"/>
        </w:rPr>
        <w:t>[</w:t>
      </w:r>
      <w:r>
        <w:rPr>
          <w:b/>
          <w:i w:val="0"/>
        </w:rPr>
        <w:t>R01] The Open Group — TOGAF Series Guides — Business Capabilities.</w:t>
      </w:r>
      <w:r>
        <w:rPr>
          <w:b w:val="0"/>
          <w:i w:val="0"/>
        </w:rPr>
        <w:t xml:space="preserve"> Cadre à examiner pour définir et organiser les capacités ; pas de catalogue commerce adopté. Guide complet non analysé dans cette consolidation.</w:t>
      </w:r>
    </w:p>
    <w:p>
      <w:pPr>
        <w:keepNext/>
        <w:spacing w:before="60"/>
      </w:pPr>
      <w:r>
        <w:rPr>
          <w:b w:val="0"/>
          <w:i/>
          <w:color w:val="5C6872"/>
          <w:sz w:val="18"/>
        </w:rPr>
        <w:t>Contrôle : Catalogue officiel retrouvé le 09/09/2026.</w:t>
      </w:r>
    </w:p>
    <w:p>
      <w:pPr/>
      <w:r>
        <w:rPr>
          <w:b w:val="0"/>
          <w:i w:val="0"/>
          <w:sz w:val="16"/>
        </w:rPr>
        <w:t>https://www.opengroup.org/togaf-series-guides</w:t>
      </w:r>
    </w:p>
    <w:p>
      <w:pPr>
        <w:keepNext/>
      </w:pPr>
      <w:r>
        <w:rPr>
          <w:b/>
          <w:i w:val="0"/>
        </w:rPr>
        <w:t>[</w:t>
      </w:r>
      <w:r>
        <w:rPr>
          <w:b/>
          <w:i w:val="0"/>
        </w:rPr>
        <w:t>R02] The Open Group — TOGAF — référence d’examen initialement citée.</w:t>
      </w:r>
      <w:r>
        <w:rPr>
          <w:b w:val="0"/>
          <w:i w:val="0"/>
        </w:rPr>
        <w:t xml:space="preserve"> La référence citée initialement est une page d’examen, pas la spécification ArchiMate. Ne pas la considérer comme preuve normative du métamodèle.</w:t>
      </w:r>
    </w:p>
    <w:p>
      <w:pPr>
        <w:keepNext/>
        <w:spacing w:before="60"/>
      </w:pPr>
      <w:r>
        <w:rPr>
          <w:b w:val="0"/>
          <w:i/>
          <w:color w:val="5C6872"/>
          <w:sz w:val="18"/>
        </w:rPr>
        <w:t>Contrôle : URL historique conservée, non réexaminée.</w:t>
      </w:r>
    </w:p>
    <w:p>
      <w:pPr/>
      <w:r>
        <w:rPr>
          <w:b w:val="0"/>
          <w:i w:val="0"/>
          <w:sz w:val="16"/>
        </w:rPr>
        <w:t>https://help.opengroup.org/hc/en-us/articles/32109993154066-What-Open-Book-Is-Provided-With-the-TOGAF-Enterprise-Architecture-Part-2-Exam</w:t>
      </w:r>
    </w:p>
    <w:p>
      <w:pPr>
        <w:keepNext/>
      </w:pPr>
      <w:r>
        <w:rPr>
          <w:b/>
          <w:i w:val="0"/>
        </w:rPr>
        <w:t>[</w:t>
      </w:r>
      <w:r>
        <w:rPr>
          <w:b/>
          <w:i w:val="0"/>
        </w:rPr>
        <w:t>R03] SAP Learning — Defining Business Architecture.</w:t>
      </w:r>
      <w:r>
        <w:rPr>
          <w:b w:val="0"/>
          <w:i w:val="0"/>
        </w:rPr>
        <w:t xml:space="preserve"> SAP distingue modèle de capacités, modèle de processus et solutions ; exemple de niveaux Business Domain / Business Area / Business Capability. Ce sont des appuis, pas une structure GBM déjà choisie.</w:t>
      </w:r>
    </w:p>
    <w:p>
      <w:pPr>
        <w:keepNext/>
        <w:spacing w:before="60"/>
      </w:pPr>
      <w:r>
        <w:rPr>
          <w:b w:val="0"/>
          <w:i/>
          <w:color w:val="5C6872"/>
          <w:sz w:val="18"/>
        </w:rPr>
        <w:t>Contrôle : Page officielle relue le 09/09/2026.</w:t>
      </w:r>
    </w:p>
    <w:p>
      <w:pPr/>
      <w:r>
        <w:rPr>
          <w:b w:val="0"/>
          <w:i w:val="0"/>
          <w:sz w:val="16"/>
        </w:rPr>
        <w:t>https://learning.sap.com/courses/intelligent-enterprise-architecture-fundamentals/defining-business-architecture</w:t>
      </w:r>
    </w:p>
    <w:p>
      <w:pPr>
        <w:keepNext/>
      </w:pPr>
      <w:r>
        <w:rPr>
          <w:b/>
          <w:i w:val="0"/>
        </w:rPr>
        <w:t>[</w:t>
      </w:r>
      <w:r>
        <w:rPr>
          <w:b/>
          <w:i w:val="0"/>
        </w:rPr>
        <w:t>R04] SAP Learning — Understanding SAP Reference Business Architecture.</w:t>
      </w:r>
      <w:r>
        <w:rPr>
          <w:b w:val="0"/>
          <w:i w:val="0"/>
        </w:rPr>
        <w:t xml:space="preserve"> Point d’entrée pour comparer architecture métier de référence et architecture de solutions. Ne prouve pas à lui seul les propriétés de DMN.</w:t>
      </w:r>
    </w:p>
    <w:p>
      <w:pPr>
        <w:keepNext/>
        <w:spacing w:before="60"/>
      </w:pPr>
      <w:r>
        <w:rPr>
          <w:b w:val="0"/>
          <w:i/>
          <w:color w:val="5C6872"/>
          <w:sz w:val="18"/>
        </w:rPr>
        <w:t>Contrôle : Page officielle relue le 09/09/2026.</w:t>
      </w:r>
    </w:p>
    <w:p>
      <w:pPr/>
      <w:r>
        <w:rPr>
          <w:b w:val="0"/>
          <w:i w:val="0"/>
          <w:sz w:val="16"/>
        </w:rPr>
        <w:t>https://learning.sap.com/courses/becoming-an-sap-btp-solution-architect/understanding-sap-reference-business-architecture-1</w:t>
      </w:r>
    </w:p>
    <w:p>
      <w:pPr>
        <w:keepNext/>
      </w:pPr>
      <w:r>
        <w:rPr>
          <w:b/>
          <w:i w:val="0"/>
        </w:rPr>
        <w:t>[</w:t>
      </w:r>
      <w:r>
        <w:rPr>
          <w:b/>
          <w:i w:val="0"/>
        </w:rPr>
        <w:t>R05] SAP Learning — Utilizing SAP Enterprise Architecture Framework Reference Architecture Content.</w:t>
      </w:r>
      <w:r>
        <w:rPr>
          <w:b w:val="0"/>
          <w:i w:val="0"/>
        </w:rPr>
        <w:t xml:space="preserve"> Référence initiale de la distinction Business Capability / Solution Capability ; une autre page SAP a été relue </w:t>
      </w:r>
      <w:r>
        <w:rPr>
          <w:b w:val="0"/>
          <w:i w:val="0"/>
        </w:rPr>
        <w:t>[</w:t>
      </w:r>
      <w:r>
        <w:rPr>
          <w:b w:val="0"/>
          <w:i w:val="0"/>
        </w:rPr>
        <w:t>R03].</w:t>
      </w:r>
    </w:p>
    <w:p>
      <w:pPr>
        <w:keepNext/>
        <w:spacing w:before="60"/>
      </w:pPr>
      <w:r>
        <w:rPr>
          <w:b w:val="0"/>
          <w:i/>
          <w:color w:val="5C6872"/>
          <w:sz w:val="18"/>
        </w:rPr>
        <w:t>Contrôle : URL historique conservée, non réexaminée.</w:t>
      </w:r>
    </w:p>
    <w:p>
      <w:pPr/>
      <w:r>
        <w:rPr>
          <w:b w:val="0"/>
          <w:i w:val="0"/>
          <w:sz w:val="16"/>
        </w:rPr>
        <w:t>https://learning.sap.com/courses/intelligent-enterprise-architecture-fundamentals/utilizing-sap-enterprise-architecture-framework-reference-architecture-content</w:t>
      </w:r>
    </w:p>
    <w:p>
      <w:pPr>
        <w:keepNext/>
      </w:pPr>
      <w:r>
        <w:rPr>
          <w:b/>
          <w:i w:val="0"/>
        </w:rPr>
        <w:t>[</w:t>
      </w:r>
      <w:r>
        <w:rPr>
          <w:b/>
          <w:i w:val="0"/>
        </w:rPr>
        <w:t>R06] Business Architecture Guild — BIZBOK / exam content.</w:t>
      </w:r>
      <w:r>
        <w:rPr>
          <w:b w:val="0"/>
          <w:i w:val="0"/>
        </w:rPr>
        <w:t xml:space="preserve"> Candidat méthodologique. L’accès complet était signalé comme réservé dans le fil ; aucune analyse détaillée du guide complet n’est revendiquée.</w:t>
      </w:r>
    </w:p>
    <w:p>
      <w:pPr>
        <w:keepNext/>
        <w:spacing w:before="60"/>
      </w:pPr>
      <w:r>
        <w:rPr>
          <w:b w:val="0"/>
          <w:i/>
          <w:color w:val="5C6872"/>
          <w:sz w:val="18"/>
        </w:rPr>
        <w:t>Contrôle : Accès refusé (403) lors du contrôle du 09/09/2026.</w:t>
      </w:r>
    </w:p>
    <w:p>
      <w:pPr/>
      <w:r>
        <w:rPr>
          <w:b w:val="0"/>
          <w:i w:val="0"/>
          <w:sz w:val="16"/>
        </w:rPr>
        <w:t>https://www.businessarchitectureguild.org/page/examcontent</w:t>
      </w:r>
    </w:p>
    <w:p>
      <w:pPr>
        <w:keepNext/>
      </w:pPr>
      <w:r>
        <w:rPr>
          <w:b/>
          <w:i w:val="0"/>
        </w:rPr>
        <w:t>[</w:t>
      </w:r>
      <w:r>
        <w:rPr>
          <w:b/>
          <w:i w:val="0"/>
        </w:rPr>
        <w:t>R07] Oracle — Oracle Retail Reference Model.</w:t>
      </w:r>
      <w:r>
        <w:rPr>
          <w:b w:val="0"/>
          <w:i w:val="0"/>
        </w:rPr>
        <w:t xml:space="preserve"> Contient notamment processus métier, modèles techniques et glossaire retail. À utiliser pour couverture et vocabulaire, sans convertir chaque processus en capacité.</w:t>
      </w:r>
    </w:p>
    <w:p>
      <w:pPr>
        <w:keepNext/>
        <w:spacing w:before="60"/>
      </w:pPr>
      <w:r>
        <w:rPr>
          <w:b w:val="0"/>
          <w:i/>
          <w:color w:val="5C6872"/>
          <w:sz w:val="18"/>
        </w:rPr>
        <w:t>Contrôle : Page officielle relue le 09/09/2026.</w:t>
      </w:r>
    </w:p>
    <w:p>
      <w:pPr/>
      <w:r>
        <w:rPr>
          <w:b w:val="0"/>
          <w:i w:val="0"/>
          <w:sz w:val="16"/>
        </w:rPr>
        <w:t>https://www.oracle.com/ua/retail/products/reference-model/</w:t>
      </w:r>
    </w:p>
    <w:p>
      <w:pPr>
        <w:keepNext/>
      </w:pPr>
      <w:r>
        <w:rPr>
          <w:b/>
          <w:i w:val="0"/>
        </w:rPr>
        <w:t>[</w:t>
      </w:r>
      <w:r>
        <w:rPr>
          <w:b/>
          <w:i w:val="0"/>
        </w:rPr>
        <w:t>R08] IBM (badge publié sur Credly) — Component Business Modeling Essentials.</w:t>
      </w:r>
      <w:r>
        <w:rPr>
          <w:b w:val="0"/>
          <w:i w:val="0"/>
        </w:rPr>
        <w:t xml:space="preserve"> Présente CBM comme cadre d’analyse d’entreprise et composants mobilisant personnes, ressources, technologie et savoir-faire. Ce n’est pas un catalogue détaillé ERP retail.</w:t>
      </w:r>
    </w:p>
    <w:p>
      <w:pPr>
        <w:keepNext/>
        <w:spacing w:before="60"/>
      </w:pPr>
      <w:r>
        <w:rPr>
          <w:b w:val="0"/>
          <w:i/>
          <w:color w:val="5C6872"/>
          <w:sz w:val="18"/>
        </w:rPr>
        <w:t>Contrôle : Description émise par IBM relue le 09/09/2026.</w:t>
      </w:r>
    </w:p>
    <w:p>
      <w:pPr/>
      <w:r>
        <w:rPr>
          <w:b w:val="0"/>
          <w:i w:val="0"/>
          <w:sz w:val="16"/>
        </w:rPr>
        <w:t>https://www.credly.com/org/ibm/badge/component-business-modeling-essentials</w:t>
      </w:r>
    </w:p>
    <w:p>
      <w:pPr>
        <w:keepNext/>
      </w:pPr>
      <w:r>
        <w:rPr>
          <w:b/>
          <w:i w:val="0"/>
        </w:rPr>
        <w:t>[</w:t>
      </w:r>
      <w:r>
        <w:rPr>
          <w:b/>
          <w:i w:val="0"/>
        </w:rPr>
        <w:t>R09] APQC — Process Classification Framework — Retail, version 7.2.1.</w:t>
      </w:r>
      <w:r>
        <w:rPr>
          <w:b w:val="0"/>
          <w:i w:val="0"/>
        </w:rPr>
        <w:t xml:space="preserve"> Classification de processus retail comme contrôle de couverture ; version historique citée, pas affirmation de dernière version.</w:t>
      </w:r>
    </w:p>
    <w:p>
      <w:pPr>
        <w:keepNext/>
        <w:spacing w:before="60"/>
      </w:pPr>
      <w:r>
        <w:rPr>
          <w:b w:val="0"/>
          <w:i/>
          <w:color w:val="5C6872"/>
          <w:sz w:val="18"/>
        </w:rPr>
        <w:t>Contrôle : Page de présentation relue le 09/09/2026 ; PDF non analysé.</w:t>
      </w:r>
    </w:p>
    <w:p>
      <w:pPr/>
      <w:r>
        <w:rPr>
          <w:b w:val="0"/>
          <w:i w:val="0"/>
          <w:sz w:val="16"/>
        </w:rPr>
        <w:t>https://www.apqc.org/resource-library/resource-listing/apqc-process-classification-framework-pcf-retail-pdf-version-721</w:t>
      </w:r>
    </w:p>
    <w:p>
      <w:pPr>
        <w:keepNext/>
      </w:pPr>
      <w:r>
        <w:rPr>
          <w:b/>
          <w:i w:val="0"/>
        </w:rPr>
        <w:t>[</w:t>
      </w:r>
      <w:r>
        <w:rPr>
          <w:b/>
          <w:i w:val="0"/>
        </w:rPr>
        <w:t>R10] OMG / ARTS — Operational Data Model.</w:t>
      </w:r>
      <w:r>
        <w:rPr>
          <w:b w:val="0"/>
          <w:i w:val="0"/>
        </w:rPr>
        <w:t xml:space="preserve"> Modèle de données et vocabulaire du retail ; appui sémantique, pas source unique du découpage des capacités.</w:t>
      </w:r>
    </w:p>
    <w:p>
      <w:pPr>
        <w:keepNext/>
        <w:spacing w:before="60"/>
      </w:pPr>
      <w:r>
        <w:rPr>
          <w:b w:val="0"/>
          <w:i/>
          <w:color w:val="5C6872"/>
          <w:sz w:val="18"/>
        </w:rPr>
        <w:t>Contrôle : Page officielle relue le 09/09/2026.</w:t>
      </w:r>
    </w:p>
    <w:p>
      <w:pPr/>
      <w:r>
        <w:rPr>
          <w:b w:val="0"/>
          <w:i w:val="0"/>
          <w:sz w:val="16"/>
        </w:rPr>
        <w:t>https://www.omg.org/retail/operational-data-model.htm</w:t>
      </w:r>
    </w:p>
    <w:p>
      <w:pPr>
        <w:keepNext/>
      </w:pPr>
      <w:r>
        <w:rPr>
          <w:b/>
          <w:i w:val="0"/>
        </w:rPr>
        <w:t>[</w:t>
      </w:r>
      <w:r>
        <w:rPr>
          <w:b/>
          <w:i w:val="0"/>
        </w:rPr>
        <w:t>R11] PeopleCert — ITIL framework.</w:t>
      </w:r>
      <w:r>
        <w:rPr>
          <w:b w:val="0"/>
          <w:i w:val="0"/>
        </w:rPr>
        <w:t xml:space="preserve"> Gestion des produits et services numériques. Rôle de gouvernance envisageable ; non retenu comme pivot métier commerce à ce stade (proposition assistant).</w:t>
      </w:r>
    </w:p>
    <w:p>
      <w:pPr>
        <w:keepNext/>
        <w:spacing w:before="60"/>
      </w:pPr>
      <w:r>
        <w:rPr>
          <w:b w:val="0"/>
          <w:i/>
          <w:color w:val="5C6872"/>
          <w:sz w:val="18"/>
        </w:rPr>
        <w:t>Contrôle : Page officielle relue le 09/09/2026.</w:t>
      </w:r>
    </w:p>
    <w:p>
      <w:pPr/>
      <w:r>
        <w:rPr>
          <w:b w:val="0"/>
          <w:i w:val="0"/>
          <w:sz w:val="16"/>
        </w:rPr>
        <w:t>https://www.peoplecert.org/Frameworks-Professionals/ITIL-framework</w:t>
      </w:r>
    </w:p>
    <w:p>
      <w:pPr>
        <w:keepNext/>
      </w:pPr>
      <w:r>
        <w:rPr>
          <w:b/>
          <w:i w:val="0"/>
        </w:rPr>
        <w:t>[</w:t>
      </w:r>
      <w:r>
        <w:rPr>
          <w:b/>
          <w:i w:val="0"/>
        </w:rPr>
        <w:t>R12] NZ Digital Government — Business capabilities — GEA-NZ.</w:t>
      </w:r>
      <w:r>
        <w:rPr>
          <w:b w:val="0"/>
          <w:i w:val="0"/>
        </w:rPr>
        <w:t xml:space="preserve"> Définition incluant personnes, processus, informations et technologies ; référence méthodologique, non modèle retail.</w:t>
      </w:r>
    </w:p>
    <w:p>
      <w:pPr>
        <w:keepNext/>
        <w:spacing w:before="60"/>
      </w:pPr>
      <w:r>
        <w:rPr>
          <w:b w:val="0"/>
          <w:i/>
          <w:color w:val="5C6872"/>
          <w:sz w:val="18"/>
        </w:rPr>
        <w:t>Contrôle : Page officielle relue le 09/09/2026.</w:t>
      </w:r>
    </w:p>
    <w:p>
      <w:pPr/>
      <w:r>
        <w:rPr>
          <w:b w:val="0"/>
          <w:i w:val="0"/>
          <w:sz w:val="16"/>
        </w:rPr>
        <w:t>https://www.digital.govt.nz/standards-and-guidance/technology-and-architecture/government-enterprise-architecture/gea-nz-framework/business-capabilities</w:t>
      </w:r>
    </w:p>
    <w:p>
      <w:pPr>
        <w:keepNext/>
      </w:pPr>
      <w:r>
        <w:rPr>
          <w:b/>
          <w:i w:val="0"/>
        </w:rPr>
        <w:t>[</w:t>
      </w:r>
      <w:r>
        <w:rPr>
          <w:b/>
          <w:i w:val="0"/>
        </w:rPr>
        <w:t>R13] Microsoft Learn — Design a DDD-oriented microservice.</w:t>
      </w:r>
      <w:r>
        <w:rPr>
          <w:b w:val="0"/>
          <w:i w:val="0"/>
        </w:rPr>
        <w:t xml:space="preserve"> Distinction règles de domaine / coordination applicative. Analogie utilisée dans le fil, non équivalence avec les deux plateformes cibles ni obligation de microservices.</w:t>
      </w:r>
    </w:p>
    <w:p>
      <w:pPr>
        <w:keepNext/>
        <w:spacing w:before="60"/>
      </w:pPr>
      <w:r>
        <w:rPr>
          <w:b w:val="0"/>
          <w:i/>
          <w:color w:val="5C6872"/>
          <w:sz w:val="18"/>
        </w:rPr>
        <w:t>Contrôle : Contenu officiel relu le 09/09/2026.</w:t>
      </w:r>
    </w:p>
    <w:p>
      <w:pPr/>
      <w:r>
        <w:rPr>
          <w:b w:val="0"/>
          <w:i w:val="0"/>
          <w:sz w:val="16"/>
        </w:rPr>
        <w:t>https://learn.microsoft.com/en-us/dotnet/architecture/microservices/microservice-ddd-cqrs-patterns/ddd-oriented-microservice</w:t>
      </w:r>
    </w:p>
    <w:p>
      <w:pPr>
        <w:keepNext/>
      </w:pPr>
      <w:r>
        <w:rPr>
          <w:b/>
          <w:i w:val="0"/>
        </w:rPr>
        <w:t>[</w:t>
      </w:r>
      <w:r>
        <w:rPr>
          <w:b/>
          <w:i w:val="0"/>
        </w:rPr>
        <w:t>R14] Microsoft Learn — Saga distributed transactions pattern.</w:t>
      </w:r>
      <w:r>
        <w:rPr>
          <w:b w:val="0"/>
          <w:i w:val="0"/>
        </w:rPr>
        <w:t xml:space="preserve"> Coordination de transactions locales et compensations ; référence de contexte pour différencier temps long métier et transaction BDD. Aucun choix de Saga n’a été acté.</w:t>
      </w:r>
    </w:p>
    <w:p>
      <w:pPr>
        <w:keepNext/>
        <w:spacing w:before="60"/>
      </w:pPr>
      <w:r>
        <w:rPr>
          <w:b w:val="0"/>
          <w:i/>
          <w:color w:val="5C6872"/>
          <w:sz w:val="18"/>
        </w:rPr>
        <w:t>Contrôle : Contenu officiel relu le 09/09/2026.</w:t>
      </w:r>
    </w:p>
    <w:p>
      <w:pPr/>
      <w:r>
        <w:rPr>
          <w:b w:val="0"/>
          <w:i w:val="0"/>
          <w:sz w:val="16"/>
        </w:rPr>
        <w:t>https://learn.microsoft.com/en-us/azure/architecture/patterns/saga</w:t>
      </w:r>
    </w:p>
    <w:p>
      <w:pPr>
        <w:keepNext/>
      </w:pPr>
      <w:r>
        <w:rPr>
          <w:b/>
          <w:i w:val="0"/>
        </w:rPr>
        <w:t>[</w:t>
      </w:r>
      <w:r>
        <w:rPr>
          <w:b/>
          <w:i w:val="0"/>
        </w:rPr>
        <w:t>R15] OMG — Case Management Model and Notation (CMMN).</w:t>
      </w:r>
      <w:r>
        <w:rPr>
          <w:b w:val="0"/>
          <w:i w:val="0"/>
        </w:rPr>
        <w:t xml:space="preserve"> Appui sur traitements de dossiers évolutifs ; ni outil ni norme d’exécution imposés au projet.</w:t>
      </w:r>
    </w:p>
    <w:p>
      <w:pPr>
        <w:keepNext/>
        <w:spacing w:before="60"/>
      </w:pPr>
      <w:r>
        <w:rPr>
          <w:b w:val="0"/>
          <w:i/>
          <w:color w:val="5C6872"/>
          <w:sz w:val="18"/>
        </w:rPr>
        <w:t>Contrôle : Page officielle relue le 09/09/2026.</w:t>
      </w:r>
    </w:p>
    <w:p>
      <w:pPr/>
      <w:r>
        <w:rPr>
          <w:b w:val="0"/>
          <w:i w:val="0"/>
          <w:sz w:val="16"/>
        </w:rPr>
        <w:t>https://www.omg.org/cmmn/</w:t>
      </w:r>
    </w:p>
    <w:p>
      <w:pPr>
        <w:keepNext/>
      </w:pPr>
      <w:r>
        <w:rPr>
          <w:b/>
          <w:i w:val="0"/>
        </w:rPr>
        <w:t>[</w:t>
      </w:r>
      <w:r>
        <w:rPr>
          <w:b/>
          <w:i w:val="0"/>
        </w:rPr>
        <w:t>R16] OMG — BPM+Health.</w:t>
      </w:r>
      <w:r>
        <w:rPr>
          <w:b w:val="0"/>
          <w:i w:val="0"/>
        </w:rPr>
        <w:t xml:space="preserve"> Page sectorielle santé citée dans le fil pour articulation BPMN/CMMN/DMN ; ne pas en faire un référentiel commerce.</w:t>
      </w:r>
    </w:p>
    <w:p>
      <w:pPr>
        <w:keepNext/>
        <w:spacing w:before="60"/>
      </w:pPr>
      <w:r>
        <w:rPr>
          <w:b w:val="0"/>
          <w:i/>
          <w:color w:val="5C6872"/>
          <w:sz w:val="18"/>
        </w:rPr>
        <w:t>Contrôle : Page officielle relue le 09/09/2026.</w:t>
      </w:r>
    </w:p>
    <w:p>
      <w:pPr/>
      <w:r>
        <w:rPr>
          <w:b w:val="0"/>
          <w:i w:val="0"/>
          <w:sz w:val="16"/>
        </w:rPr>
        <w:t>https://www.omg.org/bpmplus/</w:t>
      </w:r>
    </w:p>
    <w:p>
      <w:pPr>
        <w:keepNext/>
      </w:pPr>
      <w:r>
        <w:rPr>
          <w:b/>
          <w:i w:val="0"/>
        </w:rPr>
        <w:t>[</w:t>
      </w:r>
      <w:r>
        <w:rPr>
          <w:b/>
          <w:i w:val="0"/>
        </w:rPr>
        <w:t>R17] OMG — Decision Model and Notation (DMN).</w:t>
      </w:r>
      <w:r>
        <w:rPr>
          <w:b w:val="0"/>
          <w:i w:val="0"/>
        </w:rPr>
        <w:t xml:space="preserve"> Référence appropriée pour décrire des décisions/règles ; ne remplace pas la carte de capacités. Version d’exécution non choisie.</w:t>
      </w:r>
    </w:p>
    <w:p>
      <w:pPr>
        <w:keepNext/>
        <w:spacing w:before="60"/>
      </w:pPr>
      <w:r>
        <w:rPr>
          <w:b w:val="0"/>
          <w:i/>
          <w:color w:val="5C6872"/>
          <w:sz w:val="18"/>
        </w:rPr>
        <w:t>Contrôle : Page officielle relue le 09/09/2026.</w:t>
      </w:r>
    </w:p>
    <w:p>
      <w:pPr/>
      <w:r>
        <w:rPr>
          <w:b w:val="0"/>
          <w:i w:val="0"/>
          <w:sz w:val="16"/>
        </w:rPr>
        <w:t>https://www.omg.org/spec/DMN/</w:t>
      </w:r>
    </w:p>
    <w:p>
      <w:pPr>
        <w:keepNext/>
      </w:pPr>
      <w:r>
        <w:rPr>
          <w:b/>
          <w:i w:val="0"/>
        </w:rPr>
        <w:t>[</w:t>
      </w:r>
      <w:r>
        <w:rPr>
          <w:b/>
          <w:i w:val="0"/>
        </w:rPr>
        <w:t>R18] Cegid — Acquisition of the Cylande group.</w:t>
      </w:r>
      <w:r>
        <w:rPr>
          <w:b w:val="0"/>
          <w:i w:val="0"/>
        </w:rPr>
        <w:t xml:space="preserve"> Annonce d’acquisition datée du 23 novembre 2017 dans le fil ; corrobore le passage Cylande–Cegid, sans préciser votre version UR.</w:t>
      </w:r>
    </w:p>
    <w:p>
      <w:pPr>
        <w:keepNext/>
        <w:spacing w:before="60"/>
      </w:pPr>
      <w:r>
        <w:rPr>
          <w:b w:val="0"/>
          <w:i/>
          <w:color w:val="5C6872"/>
          <w:sz w:val="18"/>
        </w:rPr>
        <w:t>Contrôle : Page officielle relue le 09/09/2026.</w:t>
      </w:r>
    </w:p>
    <w:p>
      <w:pPr/>
      <w:r>
        <w:rPr>
          <w:b w:val="0"/>
          <w:i w:val="0"/>
          <w:sz w:val="16"/>
        </w:rPr>
        <w:t>https://www.cegid.com/global/blog/acquisition-cylande-group-cegid-gives-rise-world-leader/</w:t>
      </w:r>
    </w:p>
    <w:p>
      <w:pPr>
        <w:keepNext/>
      </w:pPr>
      <w:r>
        <w:rPr>
          <w:b/>
          <w:i w:val="0"/>
        </w:rPr>
        <w:t>[</w:t>
      </w:r>
      <w:r>
        <w:rPr>
          <w:b/>
          <w:i w:val="0"/>
        </w:rPr>
        <w:t>R19] Cegid Retail UR — Fonctionnalités du module achats — édition 2021.</w:t>
      </w:r>
      <w:r>
        <w:rPr>
          <w:b w:val="0"/>
          <w:i w:val="0"/>
        </w:rPr>
        <w:t xml:space="preserve"> Le fil attribue à la documentation commandes/intentions/portefeuille/litiges achats. À revalider sur documentation accessible avant usage comme preuve détaillée.</w:t>
      </w:r>
    </w:p>
    <w:p>
      <w:pPr>
        <w:keepNext/>
        <w:spacing w:before="60"/>
      </w:pPr>
      <w:r>
        <w:rPr>
          <w:b w:val="0"/>
          <w:i/>
          <w:color w:val="5C6872"/>
          <w:sz w:val="18"/>
        </w:rPr>
        <w:t>Contrôle : URL citée dans le fil ; ouverture directe non aboutie au nouveau contrôle.</w:t>
      </w:r>
    </w:p>
    <w:p>
      <w:pPr/>
      <w:r>
        <w:rPr>
          <w:b w:val="0"/>
          <w:i w:val="0"/>
          <w:sz w:val="16"/>
        </w:rPr>
        <w:t>https://cegid.fluidtopics.net/r/fr-FR/UR/UR/Functional_Doc/Edition-2021/Fonctionnalites-du-module-achats/6?contentId=ktZas_eXEKbR9zVlZKzpNA</w:t>
      </w:r>
    </w:p>
    <w:p>
      <w:pPr>
        <w:keepNext/>
      </w:pPr>
      <w:r>
        <w:rPr>
          <w:b/>
          <w:i w:val="0"/>
        </w:rPr>
        <w:t>[</w:t>
      </w:r>
      <w:r>
        <w:rPr>
          <w:b/>
          <w:i w:val="0"/>
        </w:rPr>
        <w:t>R20] Cegid Retail UR — Fonctionnalités du module stocks — édition 2021.</w:t>
      </w:r>
      <w:r>
        <w:rPr>
          <w:b w:val="0"/>
          <w:i w:val="0"/>
        </w:rPr>
        <w:t xml:space="preserve"> Le fil cite stocks, mouvements, inventaires et réassort ; ne prouve aucun paramétrage GBM.</w:t>
      </w:r>
    </w:p>
    <w:p>
      <w:pPr>
        <w:keepNext/>
        <w:spacing w:before="60"/>
      </w:pPr>
      <w:r>
        <w:rPr>
          <w:b w:val="0"/>
          <w:i/>
          <w:color w:val="5C6872"/>
          <w:sz w:val="18"/>
        </w:rPr>
        <w:t>Contrôle : URL citée dans le fil ; ouverture directe non aboutie au nouveau contrôle.</w:t>
      </w:r>
    </w:p>
    <w:p>
      <w:pPr/>
      <w:r>
        <w:rPr>
          <w:b w:val="0"/>
          <w:i w:val="0"/>
          <w:sz w:val="16"/>
        </w:rPr>
        <w:t>https://cegid.fluidtopics.net/r/fr-FR/UR/UR/Functional_Doc/Edition-2021/Fonctionnalites-du-module-stocks/478?contentId=sohQUMVQAri_EYJvXWBVvg</w:t>
      </w:r>
    </w:p>
    <w:p>
      <w:pPr>
        <w:keepNext/>
      </w:pPr>
      <w:r>
        <w:rPr>
          <w:b/>
          <w:i w:val="0"/>
        </w:rPr>
        <w:t>[</w:t>
      </w:r>
      <w:r>
        <w:rPr>
          <w:b/>
          <w:i w:val="0"/>
        </w:rPr>
        <w:t>R21] Cegid Retail UR — Fonctionnalités du module ventes assistées — édition 2021.</w:t>
      </w:r>
      <w:r>
        <w:rPr>
          <w:b w:val="0"/>
          <w:i w:val="0"/>
        </w:rPr>
        <w:t xml:space="preserve"> Le fil cite réservations/commandes, délivrance, reprises, notifications, journal et remontées Winstore. Winstore n’a pas été déclaré comme POS GBM.</w:t>
      </w:r>
    </w:p>
    <w:p>
      <w:pPr>
        <w:keepNext/>
        <w:spacing w:before="60"/>
      </w:pPr>
      <w:r>
        <w:rPr>
          <w:b w:val="0"/>
          <w:i/>
          <w:color w:val="5C6872"/>
          <w:sz w:val="18"/>
        </w:rPr>
        <w:t>Contrôle : URL citée dans le fil ; ouverture directe non aboutie au nouveau contrôle.</w:t>
      </w:r>
    </w:p>
    <w:p>
      <w:pPr/>
      <w:r>
        <w:rPr>
          <w:b w:val="0"/>
          <w:i w:val="0"/>
          <w:sz w:val="16"/>
        </w:rPr>
        <w:t>https://cegid.fluidtopics.net/r/fr-FR/UR/UR/Functional_Doc/Edition-2021/Fonctionnalites-du-module-ventes-assistees/563?contentId=CDMicsductTiI_JWTB6E7g</w:t>
      </w:r>
    </w:p>
    <w:p>
      <w:pPr>
        <w:keepNext/>
      </w:pPr>
      <w:r>
        <w:rPr>
          <w:b/>
          <w:i w:val="0"/>
        </w:rPr>
        <w:t>[</w:t>
      </w:r>
      <w:r>
        <w:rPr>
          <w:b/>
          <w:i w:val="0"/>
        </w:rPr>
        <w:t>R22] Cegid Retail UR — Lexique des ventes assistées — édition 2021.</w:t>
      </w:r>
      <w:r>
        <w:rPr>
          <w:b w:val="0"/>
          <w:i w:val="0"/>
        </w:rPr>
        <w:t xml:space="preserve"> Le fil décrit allocation/réallocation de ventes assistées ; distinction avec ARun conservée comme point à vérifier, pas équivalence ni preuve d’usage GBM.</w:t>
      </w:r>
    </w:p>
    <w:p>
      <w:pPr>
        <w:keepNext/>
        <w:spacing w:before="60"/>
      </w:pPr>
      <w:r>
        <w:rPr>
          <w:b w:val="0"/>
          <w:i/>
          <w:color w:val="5C6872"/>
          <w:sz w:val="18"/>
        </w:rPr>
        <w:t>Contrôle : URL citée dans le fil ; ouverture directe non aboutie au nouveau contrôle.</w:t>
      </w:r>
    </w:p>
    <w:p>
      <w:pPr/>
      <w:r>
        <w:rPr>
          <w:b w:val="0"/>
          <w:i w:val="0"/>
          <w:sz w:val="16"/>
        </w:rPr>
        <w:t>https://cegid.fluidtopics.net/r/fr-FR/UR/UR/Functional_Doc/Edition-2021/Lexique-des-ventes-assistees/565?contentId=zibPNZvP3fuLA0D7NzI_Hw</w:t>
      </w:r>
    </w:p>
    <w:p>
      <w:pPr>
        <w:keepNext/>
      </w:pPr>
      <w:r>
        <w:rPr>
          <w:b/>
          <w:i w:val="0"/>
        </w:rPr>
        <w:t>[</w:t>
      </w:r>
      <w:r>
        <w:rPr>
          <w:b/>
          <w:i w:val="0"/>
        </w:rPr>
        <w:t>R23] Cegid — Annonce UR/OMS/ship-from-store 2019 citée sans référence exploitable.</w:t>
      </w:r>
      <w:r>
        <w:rPr>
          <w:b w:val="0"/>
          <w:i w:val="0"/>
        </w:rPr>
        <w:t xml:space="preserve"> La réponse A03 contenait une attribution à une annonce 2019 et un emplacement de citation défectueux. Assertion conservée comme historique non vérifié, non utilisée comme fait de l’existant.</w:t>
      </w:r>
    </w:p>
    <w:p>
      <w:pPr>
        <w:keepNext/>
        <w:spacing w:before="60"/>
      </w:pPr>
      <w:r>
        <w:rPr>
          <w:b w:val="0"/>
          <w:i/>
          <w:color w:val="5C6872"/>
          <w:sz w:val="18"/>
        </w:rPr>
        <w:t>Contrôle : Source précise non retrouvée lors de cette consolidation.</w:t>
      </w:r>
    </w:p>
    <w:p>
      <w:pPr>
        <w:keepNext/>
      </w:pPr>
      <w:r>
        <w:rPr>
          <w:b/>
          <w:i w:val="0"/>
        </w:rPr>
        <w:t>[</w:t>
      </w:r>
      <w:r>
        <w:rPr>
          <w:b/>
          <w:i w:val="0"/>
        </w:rPr>
        <w:t>R24] Cegid Retail UR — Rechercher un ou plusieurs retours — édition 2021.</w:t>
      </w:r>
      <w:r>
        <w:rPr>
          <w:b w:val="0"/>
          <w:i w:val="0"/>
        </w:rPr>
        <w:t xml:space="preserve"> Le sommaire indexé contient modules et actions de ventes assistées ; contrôle partiel seulement, pas relecture intégrale des quatre pages R19–R22.</w:t>
      </w:r>
    </w:p>
    <w:p>
      <w:pPr>
        <w:keepNext/>
        <w:spacing w:before="60"/>
      </w:pPr>
      <w:r>
        <w:rPr>
          <w:b w:val="0"/>
          <w:i/>
          <w:color w:val="5C6872"/>
          <w:sz w:val="18"/>
        </w:rPr>
        <w:t>Contrôle : Résultat officiel indexé retrouvé le 09/09/2026.</w:t>
      </w:r>
    </w:p>
    <w:p>
      <w:pPr/>
      <w:r>
        <w:rPr>
          <w:b w:val="0"/>
          <w:i w:val="0"/>
          <w:sz w:val="16"/>
        </w:rPr>
        <w:t>https://cegid.fluidtopics.net/r/fr-FR/UR/UR/Functional_Doc/Edition-2021/Rechercher-un-ou-plusieurs-retours/100</w:t>
      </w:r>
    </w:p>
    <w:p>
      <w:pPr>
        <w:keepNext/>
      </w:pPr>
      <w:r>
        <w:rPr>
          <w:b/>
          <w:i w:val="0"/>
        </w:rPr>
        <w:t>[</w:t>
      </w:r>
      <w:r>
        <w:rPr>
          <w:b/>
          <w:i w:val="0"/>
        </w:rPr>
        <w:t>R25] SAP Learning — Comparing with SAP Fashion Management Solution (FMS).</w:t>
      </w:r>
      <w:r>
        <w:rPr>
          <w:b w:val="0"/>
          <w:i w:val="0"/>
        </w:rPr>
        <w:t xml:space="preserve"> Référence évoquée pour ARun/AFS et batch ; ne constitue pas un relevé de configuration BRD.</w:t>
      </w:r>
    </w:p>
    <w:p>
      <w:pPr>
        <w:keepNext/>
        <w:spacing w:before="60"/>
      </w:pPr>
      <w:r>
        <w:rPr>
          <w:b w:val="0"/>
          <w:i/>
          <w:color w:val="5C6872"/>
          <w:sz w:val="18"/>
        </w:rPr>
        <w:t>Contrôle : URL historique conservée, non réexaminée.</w:t>
      </w:r>
    </w:p>
    <w:p>
      <w:pPr/>
      <w:r>
        <w:rPr>
          <w:b w:val="0"/>
          <w:i w:val="0"/>
          <w:sz w:val="16"/>
        </w:rPr>
        <w:t>https://learning.sap.com/courses/outlining-sap-s-4hana-for-fashion-and-vertical-business-and-implementing-best-practices/comparing-with-sap-fashion-management-solution-fms</w:t>
      </w:r>
    </w:p>
    <w:p>
      <w:pPr>
        <w:keepNext/>
      </w:pPr>
      <w:r>
        <w:rPr>
          <w:b/>
          <w:i w:val="0"/>
        </w:rPr>
        <w:t>[</w:t>
      </w:r>
      <w:r>
        <w:rPr>
          <w:b/>
          <w:i w:val="0"/>
        </w:rPr>
        <w:t>R26] KBRW — A Logistics OMS: A Key Growth Lever for Clog.</w:t>
      </w:r>
      <w:r>
        <w:rPr>
          <w:b w:val="0"/>
          <w:i w:val="0"/>
        </w:rPr>
        <w:t xml:space="preserve"> Corrobore le rôle de KBRW auprès de C-Log ; le nom Crossroad est confirmé par Laurent </w:t>
      </w:r>
      <w:r>
        <w:rPr>
          <w:b w:val="0"/>
          <w:i w:val="0"/>
        </w:rPr>
        <w:t>[</w:t>
      </w:r>
      <w:r>
        <w:rPr>
          <w:b w:val="0"/>
          <w:i w:val="0"/>
        </w:rPr>
        <w:t>U07], pas prétendu vérifié sur cette page.</w:t>
      </w:r>
    </w:p>
    <w:p>
      <w:pPr>
        <w:keepNext/>
        <w:spacing w:before="60"/>
      </w:pPr>
      <w:r>
        <w:rPr>
          <w:b w:val="0"/>
          <w:i/>
          <w:color w:val="5C6872"/>
          <w:sz w:val="18"/>
        </w:rPr>
        <w:t>Contrôle : Page officielle relue le 09/09/2026.</w:t>
      </w:r>
    </w:p>
    <w:p>
      <w:pPr/>
      <w:r>
        <w:rPr>
          <w:b w:val="0"/>
          <w:i w:val="0"/>
          <w:sz w:val="16"/>
        </w:rPr>
        <w:t>https://kbrw.com/use-cases/clog-multisite-omnichannel-logistics</w:t>
      </w:r>
    </w:p>
    <w:p>
      <w:pPr>
        <w:keepNext/>
      </w:pPr>
      <w:r>
        <w:rPr>
          <w:b/>
          <w:i w:val="0"/>
        </w:rPr>
        <w:t>[</w:t>
      </w:r>
      <w:r>
        <w:rPr>
          <w:b/>
          <w:i w:val="0"/>
        </w:rPr>
        <w:t>R27] Beaumanoir / Caroll — Offre Gestionnaire Flux Aval citant SCORTEX et STORELAND.</w:t>
      </w:r>
      <w:r>
        <w:rPr>
          <w:b w:val="0"/>
          <w:i w:val="0"/>
        </w:rPr>
        <w:t xml:space="preserve"> Appui de nomenclature initial ; U07 valide directement SCORTEX, donc aucune dépendance à la disponibilité de l’annonce.</w:t>
      </w:r>
    </w:p>
    <w:p>
      <w:pPr>
        <w:keepNext/>
        <w:spacing w:before="60"/>
      </w:pPr>
      <w:r>
        <w:rPr>
          <w:b w:val="0"/>
          <w:i/>
          <w:color w:val="5C6872"/>
          <w:sz w:val="18"/>
        </w:rPr>
        <w:t>Contrôle : URL historique conservée, non réexaminée.</w:t>
      </w:r>
    </w:p>
    <w:p>
      <w:pPr/>
      <w:r>
        <w:rPr>
          <w:b w:val="0"/>
          <w:i w:val="0"/>
          <w:sz w:val="16"/>
        </w:rPr>
        <w:t>https://recrutement.groupe-beaumanoir.com/offer/11426-MTcxNzA</w:t>
      </w:r>
    </w:p>
    <w:p>
      <w:pPr>
        <w:keepNext/>
      </w:pPr>
      <w:r>
        <w:rPr>
          <w:b/>
          <w:i w:val="0"/>
        </w:rPr>
        <w:t>[</w:t>
      </w:r>
      <w:r>
        <w:rPr>
          <w:b/>
          <w:i w:val="0"/>
        </w:rPr>
        <w:t>R28] OpenAI Help — Memory FAQ.</w:t>
      </w:r>
      <w:r>
        <w:rPr>
          <w:b w:val="0"/>
          <w:i w:val="0"/>
        </w:rPr>
        <w:t xml:space="preserve"> Conserve la provenance du propos sur la mémoire. Le présent dossier n’affirme pas de réglage particulier du compte ni de persistance automatique des fichiers.</w:t>
      </w:r>
    </w:p>
    <w:p>
      <w:pPr>
        <w:keepNext/>
        <w:spacing w:before="60"/>
      </w:pPr>
      <w:r>
        <w:rPr>
          <w:b w:val="0"/>
          <w:i/>
          <w:color w:val="5C6872"/>
          <w:sz w:val="18"/>
        </w:rPr>
        <w:t>Contrôle : Référence historique des réponses sur mémoire ; non réexaminée ici.</w:t>
      </w:r>
    </w:p>
    <w:p>
      <w:pPr/>
      <w:r>
        <w:rPr>
          <w:b w:val="0"/>
          <w:i w:val="0"/>
          <w:sz w:val="16"/>
        </w:rPr>
        <w:t>https://help.openai.com/en/articles/8590148-memory-faq</w:t>
      </w:r>
    </w:p>
    <w:p>
      <w:pPr>
        <w:keepNext/>
      </w:pPr>
      <w:r>
        <w:rPr>
          <w:b/>
          <w:i w:val="0"/>
        </w:rPr>
        <w:t>[</w:t>
      </w:r>
      <w:r>
        <w:rPr>
          <w:b/>
          <w:i w:val="0"/>
        </w:rPr>
        <w:t>R29] OpenAI Help — Projects in ChatGPT.</w:t>
      </w:r>
      <w:r>
        <w:rPr>
          <w:b w:val="0"/>
          <w:i w:val="0"/>
        </w:rPr>
        <w:t xml:space="preserve"> Référence de contexte ; aucune action d’ajout automatique aux sources du projet ni dépôt distant n’a été réalisée.</w:t>
      </w:r>
    </w:p>
    <w:p>
      <w:pPr>
        <w:keepNext/>
        <w:spacing w:before="60"/>
      </w:pPr>
      <w:r>
        <w:rPr>
          <w:b w:val="0"/>
          <w:i/>
          <w:color w:val="5C6872"/>
          <w:sz w:val="18"/>
        </w:rPr>
        <w:t>Contrôle : Référence historique des réponses sur stockage ; non réexaminée ici.</w:t>
      </w:r>
    </w:p>
    <w:p>
      <w:pPr/>
      <w:r>
        <w:rPr>
          <w:b w:val="0"/>
          <w:i w:val="0"/>
          <w:sz w:val="16"/>
        </w:rPr>
        <w:t>https://help.openai.com/en/articles/10169521-using-projects-in-chatgpt</w:t>
      </w:r>
    </w:p>
    <w:p>
      <w:pPr>
        <w:pStyle w:val="Heading2"/>
        <w:keepNext/>
      </w:pPr>
      <w:r>
        <w:rPr>
          <w:b w:val="0"/>
          <w:i w:val="0"/>
        </w:rPr>
        <w:t>Conclusion de version</w:t>
      </w:r>
    </w:p>
    <w:p>
      <w:pPr/>
      <w:r>
        <w:rPr>
          <w:b w:val="0"/>
          <w:i w:val="0"/>
        </w:rPr>
        <w:t>Le résultat de cette version est une base contrôlable de l’exploration, pas un choix de nomenclature définitive. Les informations fournies sur MAP et CBS sont intégrées au même niveau de traçabilité que les parcours Storeland/UR/Socloz, le réassort IRMA et la frontière C-Log. Les corrections de Laurent priment sur les premières formulations. La suite peut désormais comparer des options de capacités sur des faits identifiés, sans confondre l’existant, une hypothèse et la cible souhaitée.</w:t>
      </w:r>
    </w:p>
    <w:sectPr w:rsidR="00FC693F" w:rsidRPr="0006063C" w:rsidSect="00034616">
      <w:headerReference w:type="default" r:id="rId9"/>
      <w:footerReference w:type="default" r:id="rId10"/>
      <w:pgSz w:w="11906" w:h="16838"/>
      <w:pgMar w:top="964" w:right="1049" w:bottom="907" w:left="1049" w:header="369" w:footer="36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C6872"/>
        <w:sz w:val="16"/>
      </w:rPr>
      <w:t xml:space="preserve">DOSSIER DE TRAVAIL  •  v0.1  •  09.09.2026     |     </w:t>
    </w:r>
    <w:r/>
    <w:fldSimple w:instr="PAGE"/>
    <w:r>
      <w:t xml:space="preserve"> / </w:t>
    </w: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60"/>
      <w:pBdr>
        <w:bottom w:val="single" w:sz="5" w:color="D8E2E7"/>
      </w:pBdr>
    </w:pPr>
    <w:r>
      <w:rPr>
        <w:b/>
        <w:color w:val="5C6872"/>
        <w:sz w:val="16"/>
      </w:rPr>
      <w:t>BEAUMANOIR  /  CARTOGRAPHIE DES CAPACITÉS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4" w:lineRule="auto"/>
    </w:pPr>
    <w:rPr>
      <w:rFonts w:ascii="Noto Sans" w:hAnsi="Noto Sans"/>
      <w:color w:val="17324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0" w:after="160"/>
      <w:outlineLvl w:val="0"/>
    </w:pPr>
    <w:rPr>
      <w:rFonts w:asciiTheme="majorHAnsi" w:eastAsiaTheme="majorEastAsia" w:hAnsiTheme="majorHAnsi" w:cstheme="majorBidi" w:ascii="Noto Sans" w:hAnsi="Noto Sans"/>
      <w:b/>
      <w:bCs/>
      <w:color w:val="173247"/>
      <w:sz w:val="4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Noto Sans" w:hAnsi="Noto Sans"/>
      <w:b/>
      <w:bCs/>
      <w:color w:val="187F83"/>
      <w:sz w:val="26"/>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Noto Sans" w:hAnsi="Noto Sans"/>
      <w:b/>
      <w:bCs/>
      <w:color w:val="187F8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240"/>
      <w:contextualSpacing/>
    </w:pPr>
    <w:rPr>
      <w:rFonts w:asciiTheme="majorHAnsi" w:eastAsiaTheme="majorEastAsia" w:hAnsiTheme="majorHAnsi" w:cstheme="majorBidi" w:ascii="Noto Sans" w:hAnsi="Noto Sans"/>
      <w:b/>
      <w:color w:val="173247"/>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60"/>
    </w:pPr>
    <w:rPr>
      <w:rFonts w:asciiTheme="majorHAnsi" w:eastAsiaTheme="majorEastAsia" w:hAnsiTheme="majorHAnsi" w:cstheme="majorBidi" w:ascii="Noto Sans" w:hAnsi="Noto Sans"/>
      <w:b w:val="0"/>
      <w:i/>
      <w:iCs/>
      <w:color w:val="187F83"/>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00" w:line="254" w:lineRule="auto"/>
    </w:pPr>
    <w:rPr>
      <w:rFonts w:ascii="Noto Sans" w:hAnsi="Noto Sans"/>
      <w:color w:val="173247"/>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Cartographie des capacités Beaumanoir — dossier de référence v0.1</dc:title>
  <dc:subject>Base documentaire exhaustive du fil de travail</dc:subject>
  <dc:creator>Laurent — consolidation ChatGPT</dc:creator>
  <cp:keywords>Beaumanoir;Business Capabilities;GBM;MAP;CBS;IRMA;C-Log</cp:keywords>
  <dc:description>Base documentaire de travail. Aucune architecture cible approuvée.</dc:description>
  <cp:lastModifiedBy/>
  <cp:revision>1</cp:revision>
  <dcterms:created xsi:type="dcterms:W3CDTF">2013-12-23T23:15:00Z</dcterms:created>
  <dcterms:modified xsi:type="dcterms:W3CDTF">2013-12-23T23:15:00Z</dcterms:modified>
  <cp:category/>
  <cp:version>0.1</cp:version>
</cp:coreProperties>
</file>