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11" w:rsidRDefault="00200A11" w:rsidP="00200A11">
      <w:pPr>
        <w:pStyle w:val="Figure"/>
      </w:pPr>
    </w:p>
    <w:p w:rsidR="002B018A" w:rsidRDefault="002B018A" w:rsidP="002B018A">
      <w:pPr>
        <w:pStyle w:val="Heading1"/>
      </w:pPr>
      <w:r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Start w:id="0" w:name="_GoBack"/>
      <w:bookmarkEnd w:id="0"/>
      <w:proofErr w:type="spellEnd"/>
    </w:p>
    <w:p w:rsidR="00AE714C" w:rsidRDefault="002B018A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r>
        <w:fldChar w:fldCharType="begin"/>
      </w:r>
      <w:r>
        <w:instrText xml:space="preserve"> TOC \f F \h \z \t "Figure" \c </w:instrText>
      </w:r>
      <w:r>
        <w:fldChar w:fldCharType="separate"/>
      </w:r>
      <w:hyperlink w:anchor="_Toc27444547" w:history="1">
        <w:r w:rsidR="00AE714C" w:rsidRPr="00707926">
          <w:rPr>
            <w:rStyle w:val="Hyperlink"/>
            <w:b/>
            <w:noProof/>
          </w:rPr>
          <w:t>Figure 1</w:t>
        </w:r>
        <w:r w:rsidR="00AE714C">
          <w:rPr>
            <w:rFonts w:eastAsiaTheme="minorEastAsia"/>
            <w:noProof/>
            <w:lang w:eastAsia="nb-NO"/>
          </w:rPr>
          <w:tab/>
        </w:r>
        <w:r w:rsidR="00AE714C" w:rsidRPr="00707926">
          <w:rPr>
            <w:rStyle w:val="Hyperlink"/>
            <w:noProof/>
          </w:rPr>
          <w:t>Freshwater lakes from southern Norway and Sweden sampled for the COMSAT project. Secchi depth is displayed to provide a general impression of the longitudinal gradient in the dataset.</w:t>
        </w:r>
        <w:r w:rsidR="00AE714C">
          <w:rPr>
            <w:noProof/>
            <w:webHidden/>
          </w:rPr>
          <w:tab/>
        </w:r>
        <w:r w:rsidR="00AE714C">
          <w:rPr>
            <w:noProof/>
            <w:webHidden/>
          </w:rPr>
          <w:fldChar w:fldCharType="begin"/>
        </w:r>
        <w:r w:rsidR="00AE714C">
          <w:rPr>
            <w:noProof/>
            <w:webHidden/>
          </w:rPr>
          <w:instrText xml:space="preserve"> PAGEREF _Toc27444547 \h </w:instrText>
        </w:r>
        <w:r w:rsidR="00AE714C">
          <w:rPr>
            <w:noProof/>
            <w:webHidden/>
          </w:rPr>
        </w:r>
        <w:r w:rsidR="00AE714C">
          <w:rPr>
            <w:noProof/>
            <w:webHidden/>
          </w:rPr>
          <w:fldChar w:fldCharType="separate"/>
        </w:r>
        <w:r w:rsidR="00AE714C">
          <w:rPr>
            <w:noProof/>
            <w:webHidden/>
          </w:rPr>
          <w:t>2</w:t>
        </w:r>
        <w:r w:rsidR="00AE714C">
          <w:rPr>
            <w:noProof/>
            <w:webHidden/>
          </w:rPr>
          <w:fldChar w:fldCharType="end"/>
        </w:r>
      </w:hyperlink>
    </w:p>
    <w:p w:rsidR="00AE714C" w:rsidRDefault="00AE714C">
      <w:pPr>
        <w:pStyle w:val="TableofFigures"/>
        <w:tabs>
          <w:tab w:val="right" w:leader="dot" w:pos="9062"/>
        </w:tabs>
        <w:rPr>
          <w:rFonts w:eastAsiaTheme="minorEastAsia"/>
          <w:noProof/>
          <w:lang w:eastAsia="nb-NO"/>
        </w:rPr>
      </w:pPr>
      <w:hyperlink w:anchor="_Toc27444548" w:history="1">
        <w:r w:rsidRPr="00707926">
          <w:rPr>
            <w:rStyle w:val="Hyperlink"/>
            <w:b/>
            <w:noProof/>
          </w:rPr>
          <w:t>Table 1</w:t>
        </w:r>
        <w:r>
          <w:rPr>
            <w:rFonts w:eastAsiaTheme="minorEastAsia"/>
            <w:noProof/>
            <w:lang w:eastAsia="nb-NO"/>
          </w:rPr>
          <w:tab/>
        </w:r>
        <w:r w:rsidRPr="00707926">
          <w:rPr>
            <w:rStyle w:val="Hyperlink"/>
            <w:noProof/>
          </w:rPr>
          <w:t>Subsets of the ASV and metadata tables. The columns to the right show the first 5 ASVs in decreasing order of abundance while the columns to the left show linearly independent metadata variables that can be treated as explanatory to bacterial community composition.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_Toc27444548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018A" w:rsidRDefault="002B018A" w:rsidP="00200A11">
      <w:pPr>
        <w:pStyle w:val="Figure"/>
      </w:pPr>
      <w:r>
        <w:fldChar w:fldCharType="end"/>
      </w:r>
    </w:p>
    <w:p w:rsidR="002B018A" w:rsidRDefault="002B018A" w:rsidP="00200A11">
      <w:pPr>
        <w:pStyle w:val="Figure"/>
      </w:pPr>
    </w:p>
    <w:p w:rsidR="009F071F" w:rsidRDefault="009F071F">
      <w:pPr>
        <w:jc w:val="left"/>
        <w:rPr>
          <w:lang w:val="en-US"/>
        </w:rPr>
      </w:pPr>
      <w:r>
        <w:br w:type="page"/>
      </w:r>
    </w:p>
    <w:p w:rsidR="0042112F" w:rsidRDefault="0042112F" w:rsidP="0042112F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42112F" w:rsidRDefault="0042112F" w:rsidP="0042112F">
      <w:pPr>
        <w:pStyle w:val="Heading2"/>
        <w:rPr>
          <w:lang w:val="en-US"/>
        </w:rPr>
      </w:pPr>
      <w:r>
        <w:rPr>
          <w:lang w:val="en-US"/>
        </w:rPr>
        <w:t>Chosen dataset</w:t>
      </w:r>
    </w:p>
    <w:p w:rsidR="0042112F" w:rsidRDefault="0042112F" w:rsidP="0042112F">
      <w:pPr>
        <w:rPr>
          <w:lang w:val="en-US"/>
        </w:rPr>
      </w:pPr>
      <w:r>
        <w:rPr>
          <w:lang w:val="en-US"/>
        </w:rPr>
        <w:t xml:space="preserve">This study </w:t>
      </w:r>
      <w:proofErr w:type="gramStart"/>
      <w:r>
        <w:rPr>
          <w:lang w:val="en-US"/>
        </w:rPr>
        <w:t>was performed</w:t>
      </w:r>
      <w:proofErr w:type="gramEnd"/>
      <w:r>
        <w:rPr>
          <w:lang w:val="en-US"/>
        </w:rPr>
        <w:t xml:space="preserve"> on freshwater microbial ecology data generated by sampling 72 lakes from southern Norway and Sweden (fig. 1).</w:t>
      </w:r>
      <w:r w:rsidR="00B865E0">
        <w:rPr>
          <w:lang w:val="en-US"/>
        </w:rPr>
        <w:t xml:space="preserve"> It was part of a project designated COMSAT.</w:t>
      </w:r>
      <w:r>
        <w:rPr>
          <w:lang w:val="en-US"/>
        </w:rPr>
        <w:t xml:space="preserve"> </w:t>
      </w:r>
      <w:r w:rsidR="002E2E51">
        <w:rPr>
          <w:lang w:val="en-US"/>
        </w:rPr>
        <w:t>The dataset comprises two tables. One consists of counts of amplicon sequence variants (ASV) for bacteria, while the other contains environmental metadata</w:t>
      </w:r>
      <w:r w:rsidR="00D84363">
        <w:rPr>
          <w:lang w:val="en-US"/>
        </w:rPr>
        <w:t xml:space="preserve"> (table 1)</w:t>
      </w:r>
      <w:r w:rsidR="002E2E51">
        <w:rPr>
          <w:lang w:val="en-US"/>
        </w:rPr>
        <w:t>.</w:t>
      </w:r>
      <w:r w:rsidR="00D84363">
        <w:rPr>
          <w:lang w:val="en-US"/>
        </w:rPr>
        <w:t xml:space="preserve"> Each observation in either table corresponds to a lake.</w:t>
      </w:r>
      <w:r w:rsidR="002E2E51">
        <w:rPr>
          <w:lang w:val="en-US"/>
        </w:rPr>
        <w:t xml:space="preserve"> Both tables </w:t>
      </w:r>
      <w:proofErr w:type="gramStart"/>
      <w:r w:rsidR="002E2E51">
        <w:rPr>
          <w:lang w:val="en-US"/>
        </w:rPr>
        <w:t>are matched</w:t>
      </w:r>
      <w:proofErr w:type="gramEnd"/>
      <w:r w:rsidR="002E2E51">
        <w:rPr>
          <w:lang w:val="en-US"/>
        </w:rPr>
        <w:t xml:space="preserve"> by observation and can thus be used as input and output for each other. </w:t>
      </w:r>
      <w:r w:rsidR="00D84363">
        <w:rPr>
          <w:lang w:val="en-US"/>
        </w:rPr>
        <w:t xml:space="preserve">Bacterial ASVs </w:t>
      </w:r>
      <w:proofErr w:type="gramStart"/>
      <w:r w:rsidR="00D84363">
        <w:rPr>
          <w:lang w:val="en-US"/>
        </w:rPr>
        <w:t>can be treated</w:t>
      </w:r>
      <w:proofErr w:type="gramEnd"/>
      <w:r w:rsidR="00D84363">
        <w:rPr>
          <w:lang w:val="en-US"/>
        </w:rPr>
        <w:t xml:space="preserve"> as a proxy for the abundance of bacterial species. These ASV counts can also be converted to binary with </w:t>
      </w:r>
      <w:proofErr w:type="gramStart"/>
      <w:r w:rsidR="00D84363">
        <w:rPr>
          <w:lang w:val="en-US"/>
        </w:rPr>
        <w:t>0</w:t>
      </w:r>
      <w:proofErr w:type="gramEnd"/>
      <w:r w:rsidR="00D84363">
        <w:rPr>
          <w:lang w:val="en-US"/>
        </w:rPr>
        <w:t xml:space="preserve"> equal to 0 and values above 0 set to 1 in order to study presence/absence patterns.</w:t>
      </w:r>
      <w:r w:rsidR="002E2E51">
        <w:rPr>
          <w:lang w:val="en-US"/>
        </w:rPr>
        <w:t xml:space="preserve">  </w:t>
      </w:r>
    </w:p>
    <w:p w:rsidR="0042112F" w:rsidRDefault="0042112F" w:rsidP="00AE714C">
      <w:pPr>
        <w:jc w:val="center"/>
      </w:pPr>
      <w:r w:rsidRPr="00DB4420">
        <w:rPr>
          <w:noProof/>
          <w:lang w:eastAsia="nb-NO"/>
        </w:rPr>
        <w:drawing>
          <wp:inline distT="0" distB="0" distL="0" distR="0" wp14:anchorId="46E3DB93" wp14:editId="2E6B83A6">
            <wp:extent cx="3876675" cy="2992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21" cy="299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2F" w:rsidRDefault="0042112F" w:rsidP="0042112F">
      <w:pPr>
        <w:pStyle w:val="Figure"/>
      </w:pPr>
      <w:bookmarkStart w:id="1" w:name="_Toc27444547"/>
      <w:r w:rsidRPr="0042112F">
        <w:rPr>
          <w:b/>
        </w:rPr>
        <w:t xml:space="preserve">Figure </w:t>
      </w:r>
      <w:proofErr w:type="gramStart"/>
      <w:r w:rsidRPr="0042112F">
        <w:rPr>
          <w:b/>
        </w:rPr>
        <w:t>1</w:t>
      </w:r>
      <w:proofErr w:type="gramEnd"/>
      <w:r>
        <w:tab/>
        <w:t>Freshwater lakes from southern Norway and Sweden</w:t>
      </w:r>
      <w:r w:rsidR="00B865E0">
        <w:t xml:space="preserve"> sampled for the COMSAT project</w:t>
      </w:r>
      <w:r>
        <w:t xml:space="preserve">. </w:t>
      </w:r>
      <w:proofErr w:type="spellStart"/>
      <w:r>
        <w:t>Secchi</w:t>
      </w:r>
      <w:proofErr w:type="spellEnd"/>
      <w:r>
        <w:t xml:space="preserve"> depth </w:t>
      </w:r>
      <w:proofErr w:type="gramStart"/>
      <w:r>
        <w:t>is displayed</w:t>
      </w:r>
      <w:proofErr w:type="gramEnd"/>
      <w:r>
        <w:t xml:space="preserve"> to provide a general impression of the longitudinal gradient in the dataset.</w:t>
      </w:r>
      <w:bookmarkEnd w:id="1"/>
    </w:p>
    <w:p w:rsidR="00D84363" w:rsidRPr="0042112F" w:rsidRDefault="00D84363" w:rsidP="0042112F">
      <w:pPr>
        <w:pStyle w:val="Figure"/>
      </w:pPr>
      <w:bookmarkStart w:id="2" w:name="_Toc27444548"/>
      <w:r w:rsidRPr="00D84363">
        <w:rPr>
          <w:b/>
        </w:rPr>
        <w:t xml:space="preserve">Table </w:t>
      </w:r>
      <w:proofErr w:type="gramStart"/>
      <w:r w:rsidRPr="00D84363">
        <w:rPr>
          <w:b/>
        </w:rPr>
        <w:t>1</w:t>
      </w:r>
      <w:proofErr w:type="gramEnd"/>
      <w:r>
        <w:tab/>
        <w:t xml:space="preserve">Subsets of the ASV and metadata tables. The columns to the right show the first 5 ASVs in decreasing order of abundance while the columns to the left show </w:t>
      </w:r>
      <w:r w:rsidR="00C56B91">
        <w:t>linearly independent</w:t>
      </w:r>
      <w:r>
        <w:t xml:space="preserve"> metadata variables</w:t>
      </w:r>
      <w:r w:rsidR="00C56B91">
        <w:t xml:space="preserve"> that can be treated as explanatory to bacterial community composition</w:t>
      </w:r>
      <w:r>
        <w:t>.</w:t>
      </w:r>
      <w:bookmarkEnd w:id="2"/>
    </w:p>
    <w:tbl>
      <w:tblPr>
        <w:tblW w:w="5875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445"/>
        <w:gridCol w:w="445"/>
        <w:gridCol w:w="445"/>
        <w:gridCol w:w="445"/>
        <w:gridCol w:w="445"/>
        <w:gridCol w:w="223"/>
        <w:gridCol w:w="597"/>
        <w:gridCol w:w="627"/>
        <w:gridCol w:w="531"/>
        <w:gridCol w:w="414"/>
        <w:gridCol w:w="440"/>
        <w:gridCol w:w="781"/>
        <w:gridCol w:w="447"/>
        <w:gridCol w:w="657"/>
        <w:gridCol w:w="718"/>
        <w:gridCol w:w="414"/>
        <w:gridCol w:w="536"/>
        <w:gridCol w:w="384"/>
        <w:gridCol w:w="463"/>
      </w:tblGrid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Site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ASV1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ASV2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ASV3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ASV4</w:t>
            </w:r>
          </w:p>
        </w:tc>
        <w:tc>
          <w:tcPr>
            <w:tcW w:w="2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ASV5</w:t>
            </w:r>
          </w:p>
        </w:tc>
        <w:tc>
          <w:tcPr>
            <w:tcW w:w="1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Latitude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Longitude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proofErr w:type="spellStart"/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Altitude</w:t>
            </w:r>
            <w:proofErr w:type="spellEnd"/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Area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Depth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proofErr w:type="spellStart"/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Temperature</w:t>
            </w:r>
            <w:proofErr w:type="spellEnd"/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proofErr w:type="spellStart"/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Secchi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O2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CH4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pH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TIC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SiO2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proofErr w:type="spellStart"/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KdPAR</w:t>
            </w:r>
            <w:proofErr w:type="spellEnd"/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10000_Hurdalsjøen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18464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5231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6963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7563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9516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60.37648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11.04077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176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32.81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17.03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6.50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0.9044194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11.797343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6.870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0.82230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3312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0.62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10001_Harestuvatnet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15296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58728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30659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1614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17059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60.19323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10.71212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234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1.98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15.85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4.50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0.8468347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72.674567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7.365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4.05800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3783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0.89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170B_Gjersjøen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13356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52215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25810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1367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14586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59.78970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10.77485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40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2.64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22.0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19.65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3.30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0.8131012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52.953904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7.685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8.08500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3563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0.95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170_Gjersjøen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16227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53747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26456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2823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3119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59.78970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10.77485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40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2.64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22.0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19.65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3.30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0.8131012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52.953904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7.685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8.08500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3563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0.95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180_Øgderen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52862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4887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1361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14854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25616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59.71388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11.41303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133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12.66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9.5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18.61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0.8406025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85.639780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7.225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2.66800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1125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1.60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189_Krøderen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18830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53461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50015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12664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13253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60.13485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9.75860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133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43.91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14.0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15.44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2.80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0.8582522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29.100059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6.695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0.81360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2499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0.82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191_Rødbyvatnet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43828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7657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1836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34800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20517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59.58175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10.48715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118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1.16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18.55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2.10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0.8527711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260.596931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7.535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3.09200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2063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1.32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214_Gjesåssjøen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10532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588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9275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19181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5315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60.68167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11.99235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176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3.98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3.5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19.63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1.15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0.8360833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97.561306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7.070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1.73200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2924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2.27</w:t>
            </w:r>
          </w:p>
        </w:tc>
      </w:tr>
      <w:tr w:rsidR="00C439FF" w:rsidRPr="00C439FF" w:rsidTr="00C439FF">
        <w:trPr>
          <w:trHeight w:val="296"/>
          <w:jc w:val="center"/>
        </w:trPr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2252_Rotnessjøen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14088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39265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35086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11061</w:t>
            </w:r>
          </w:p>
        </w:tc>
        <w:tc>
          <w:tcPr>
            <w:tcW w:w="2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7228</w:t>
            </w:r>
          </w:p>
        </w:tc>
        <w:tc>
          <w:tcPr>
            <w:tcW w:w="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…</w:t>
            </w:r>
          </w:p>
        </w:tc>
        <w:tc>
          <w:tcPr>
            <w:tcW w:w="2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60.49690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12.34120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260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1.09</w:t>
            </w:r>
          </w:p>
        </w:tc>
        <w:tc>
          <w:tcPr>
            <w:tcW w:w="2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26.0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16.55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1.95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0.7350632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41.956068</w:t>
            </w: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6.635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0.77310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5559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2799" w:rsidRPr="00F02799" w:rsidRDefault="00F02799" w:rsidP="00F0279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</w:pPr>
            <w:r w:rsidRPr="00F02799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nb-NO"/>
              </w:rPr>
              <w:t>1.08</w:t>
            </w:r>
          </w:p>
        </w:tc>
      </w:tr>
    </w:tbl>
    <w:p w:rsidR="0042112F" w:rsidRDefault="0042112F" w:rsidP="0042112F">
      <w:pPr>
        <w:rPr>
          <w:lang w:val="en-US"/>
        </w:rPr>
      </w:pPr>
    </w:p>
    <w:p w:rsidR="0070748C" w:rsidRDefault="0070748C" w:rsidP="0070748C">
      <w:pPr>
        <w:pStyle w:val="Heading1"/>
        <w:rPr>
          <w:lang w:val="en-US"/>
        </w:rPr>
      </w:pPr>
      <w:r>
        <w:rPr>
          <w:lang w:val="en-US"/>
        </w:rPr>
        <w:t>Methods</w:t>
      </w:r>
    </w:p>
    <w:p w:rsidR="003127F4" w:rsidRDefault="003127F4" w:rsidP="003127F4">
      <w:pPr>
        <w:pStyle w:val="Heading2"/>
        <w:rPr>
          <w:lang w:val="en-US"/>
        </w:rPr>
      </w:pPr>
      <w:r>
        <w:rPr>
          <w:lang w:val="en-US"/>
        </w:rPr>
        <w:t>Data filtering, formatting and transformation</w:t>
      </w:r>
    </w:p>
    <w:p w:rsidR="00702673" w:rsidRDefault="003127F4" w:rsidP="00AE714C">
      <w:pPr>
        <w:rPr>
          <w:lang w:val="en-US"/>
        </w:rPr>
      </w:pPr>
      <w:r w:rsidRPr="00B865E0">
        <w:rPr>
          <w:lang w:val="en-US"/>
        </w:rPr>
        <w:t>The credit card dataset contained</w:t>
      </w:r>
      <w:r w:rsidR="00B865E0" w:rsidRPr="00B865E0">
        <w:rPr>
          <w:lang w:val="en-US"/>
        </w:rPr>
        <w:t xml:space="preserve"> only continuous variables. There were missing values in the environmental </w:t>
      </w:r>
      <w:r w:rsidR="007E33DC" w:rsidRPr="00B865E0">
        <w:rPr>
          <w:lang w:val="en-US"/>
        </w:rPr>
        <w:t>metadata, which</w:t>
      </w:r>
      <w:r w:rsidR="00B865E0" w:rsidRPr="00B865E0">
        <w:rPr>
          <w:lang w:val="en-US"/>
        </w:rPr>
        <w:t xml:space="preserve"> </w:t>
      </w:r>
      <w:proofErr w:type="gramStart"/>
      <w:r w:rsidR="00B865E0" w:rsidRPr="00B865E0">
        <w:rPr>
          <w:lang w:val="en-US"/>
        </w:rPr>
        <w:t>were replaced</w:t>
      </w:r>
      <w:proofErr w:type="gramEnd"/>
      <w:r w:rsidR="00B865E0" w:rsidRPr="00B865E0">
        <w:rPr>
          <w:lang w:val="en-US"/>
        </w:rPr>
        <w:t xml:space="preserve"> </w:t>
      </w:r>
      <w:r w:rsidR="007E33DC">
        <w:rPr>
          <w:lang w:val="en-US"/>
        </w:rPr>
        <w:t xml:space="preserve">by </w:t>
      </w:r>
      <w:proofErr w:type="spellStart"/>
      <w:r w:rsidR="007E33DC">
        <w:rPr>
          <w:lang w:val="en-US"/>
        </w:rPr>
        <w:t>intrapolation</w:t>
      </w:r>
      <w:proofErr w:type="spellEnd"/>
      <w:r w:rsidR="007E33DC">
        <w:rPr>
          <w:lang w:val="en-US"/>
        </w:rPr>
        <w:t xml:space="preserve"> </w:t>
      </w:r>
      <w:r w:rsidR="00B865E0" w:rsidRPr="00B865E0">
        <w:rPr>
          <w:lang w:val="en-US"/>
        </w:rPr>
        <w:t>using Multivariate Imputation by Chained Equations</w:t>
      </w:r>
      <w:r w:rsidR="00F20D01">
        <w:rPr>
          <w:lang w:val="en-US"/>
        </w:rPr>
        <w:t xml:space="preserve"> (</w:t>
      </w:r>
      <w:proofErr w:type="spellStart"/>
      <w:r w:rsidR="00F20D01" w:rsidRPr="00F20D01">
        <w:rPr>
          <w:lang w:val="en-US"/>
        </w:rPr>
        <w:t>Buuren</w:t>
      </w:r>
      <w:proofErr w:type="spellEnd"/>
      <w:r w:rsidR="00F20D01">
        <w:rPr>
          <w:lang w:val="en-US"/>
        </w:rPr>
        <w:t xml:space="preserve"> </w:t>
      </w:r>
      <w:r w:rsidR="00F20D01" w:rsidRPr="00F20D01">
        <w:rPr>
          <w:lang w:val="en-US"/>
        </w:rPr>
        <w:t xml:space="preserve">&amp; </w:t>
      </w:r>
      <w:proofErr w:type="spellStart"/>
      <w:r w:rsidR="00F20D01" w:rsidRPr="00F20D01">
        <w:rPr>
          <w:lang w:val="en-US"/>
        </w:rPr>
        <w:t>Groothuis-Oudshoorn</w:t>
      </w:r>
      <w:proofErr w:type="spellEnd"/>
      <w:r w:rsidR="00F20D01">
        <w:rPr>
          <w:lang w:val="en-US"/>
        </w:rPr>
        <w:t xml:space="preserve"> </w:t>
      </w:r>
      <w:r w:rsidR="00F20D01" w:rsidRPr="00F20D01">
        <w:rPr>
          <w:lang w:val="en-US"/>
        </w:rPr>
        <w:t>2011</w:t>
      </w:r>
      <w:r w:rsidR="00F20D01">
        <w:rPr>
          <w:lang w:val="en-US"/>
        </w:rPr>
        <w:t>).</w:t>
      </w:r>
      <w:r w:rsidR="007E33DC">
        <w:rPr>
          <w:lang w:val="en-US"/>
        </w:rPr>
        <w:t xml:space="preserve"> This decision to keep observations with missing values is motivated by the very small number of observations in the full dataset compared to the number of </w:t>
      </w:r>
      <w:proofErr w:type="gramStart"/>
      <w:r w:rsidR="007E33DC">
        <w:rPr>
          <w:lang w:val="en-US"/>
        </w:rPr>
        <w:t>descriptors which</w:t>
      </w:r>
      <w:proofErr w:type="gramEnd"/>
      <w:r w:rsidR="007E33DC">
        <w:rPr>
          <w:lang w:val="en-US"/>
        </w:rPr>
        <w:t xml:space="preserve"> would make it even harder to train models successfully</w:t>
      </w:r>
      <w:r w:rsidR="00F67BE8">
        <w:rPr>
          <w:lang w:val="en-US"/>
        </w:rPr>
        <w:t>,</w:t>
      </w:r>
      <w:r w:rsidR="007E33DC">
        <w:rPr>
          <w:lang w:val="en-US"/>
        </w:rPr>
        <w:t xml:space="preserve"> were the number of observations to be reduced any further. The ASV table was scaled using ranging (set values to interval of 0-1) due to this transformation yielding somewhat better clustering in terms of ecological meaningfulness compared to </w:t>
      </w:r>
      <w:r w:rsidR="00F67BE8">
        <w:rPr>
          <w:lang w:val="en-US"/>
        </w:rPr>
        <w:t>subtraction</w:t>
      </w:r>
      <w:r w:rsidR="007E33DC">
        <w:rPr>
          <w:lang w:val="en-US"/>
        </w:rPr>
        <w:t xml:space="preserve"> of mean and division by standard deviation (Legendre &amp; Legendre 2012).</w:t>
      </w:r>
      <w:r w:rsidR="00F20D01">
        <w:rPr>
          <w:lang w:val="en-US"/>
        </w:rPr>
        <w:t xml:space="preserve"> </w:t>
      </w:r>
      <w:r w:rsidR="00F67BE8">
        <w:rPr>
          <w:lang w:val="en-US"/>
        </w:rPr>
        <w:t>Environmental metadata were used with or without scaling, the former being performed by subtracting the mean and dividing by standard deviation.</w:t>
      </w:r>
    </w:p>
    <w:p w:rsidR="00F329A3" w:rsidRDefault="00F329A3" w:rsidP="00F329A3">
      <w:pPr>
        <w:pStyle w:val="Heading1"/>
        <w:rPr>
          <w:lang w:val="en-US"/>
        </w:rPr>
      </w:pPr>
      <w:r>
        <w:rPr>
          <w:lang w:val="en-US"/>
        </w:rPr>
        <w:t>References</w:t>
      </w:r>
    </w:p>
    <w:p w:rsidR="00F20D01" w:rsidRPr="00F67BE8" w:rsidRDefault="00F20D01" w:rsidP="00F20D01">
      <w:proofErr w:type="spellStart"/>
      <w:r w:rsidRPr="00F20D01">
        <w:rPr>
          <w:lang w:val="en-US"/>
        </w:rPr>
        <w:t>Buuren</w:t>
      </w:r>
      <w:proofErr w:type="spellEnd"/>
      <w:r w:rsidRPr="00F20D01">
        <w:rPr>
          <w:lang w:val="en-US"/>
        </w:rPr>
        <w:t xml:space="preserve">, S. van, &amp; </w:t>
      </w:r>
      <w:proofErr w:type="spellStart"/>
      <w:r w:rsidRPr="00F20D01">
        <w:rPr>
          <w:lang w:val="en-US"/>
        </w:rPr>
        <w:t>Groothuis-Oudshoorn</w:t>
      </w:r>
      <w:proofErr w:type="spellEnd"/>
      <w:r w:rsidRPr="00F20D01">
        <w:rPr>
          <w:lang w:val="en-US"/>
        </w:rPr>
        <w:t xml:space="preserve">, K. (2011). </w:t>
      </w:r>
      <w:proofErr w:type="gramStart"/>
      <w:r w:rsidRPr="00F20D01">
        <w:rPr>
          <w:lang w:val="en-US"/>
        </w:rPr>
        <w:t>mice</w:t>
      </w:r>
      <w:proofErr w:type="gramEnd"/>
      <w:r w:rsidRPr="00F20D01">
        <w:rPr>
          <w:lang w:val="en-US"/>
        </w:rPr>
        <w:t xml:space="preserve">: Multivariate Imputation by Chained Equations </w:t>
      </w:r>
      <w:proofErr w:type="spellStart"/>
      <w:r w:rsidRPr="00F20D01">
        <w:rPr>
          <w:lang w:val="en-US"/>
        </w:rPr>
        <w:t>inR</w:t>
      </w:r>
      <w:proofErr w:type="spellEnd"/>
      <w:r w:rsidRPr="00F20D01">
        <w:rPr>
          <w:lang w:val="en-US"/>
        </w:rPr>
        <w:t xml:space="preserve">. Journal of Statistical Software, 45(3). </w:t>
      </w:r>
      <w:r w:rsidR="00F67BE8" w:rsidRPr="00F67BE8">
        <w:t>https://doi.org/10.18637/jss.v045.i03</w:t>
      </w:r>
    </w:p>
    <w:p w:rsidR="00F67BE8" w:rsidRPr="00F20D01" w:rsidRDefault="00F67BE8" w:rsidP="00F20D01">
      <w:pPr>
        <w:rPr>
          <w:lang w:val="en-US"/>
        </w:rPr>
      </w:pPr>
      <w:proofErr w:type="spellStart"/>
      <w:r>
        <w:t>Legendre</w:t>
      </w:r>
      <w:proofErr w:type="spellEnd"/>
      <w:r>
        <w:t xml:space="preserve">, P., &amp; </w:t>
      </w:r>
      <w:proofErr w:type="spellStart"/>
      <w:r>
        <w:t>Legendre</w:t>
      </w:r>
      <w:proofErr w:type="spellEnd"/>
      <w:r>
        <w:t xml:space="preserve">, L. F. (2012). </w:t>
      </w:r>
      <w:proofErr w:type="spellStart"/>
      <w:r>
        <w:t>Numerical</w:t>
      </w:r>
      <w:proofErr w:type="spellEnd"/>
      <w:r>
        <w:t xml:space="preserve"> </w:t>
      </w:r>
      <w:proofErr w:type="spellStart"/>
      <w:proofErr w:type="gramStart"/>
      <w:r>
        <w:t>ecology</w:t>
      </w:r>
      <w:proofErr w:type="spellEnd"/>
      <w:r>
        <w:t>(</w:t>
      </w:r>
      <w:proofErr w:type="gramEnd"/>
      <w:r>
        <w:t xml:space="preserve">Vol. 24). </w:t>
      </w:r>
      <w:proofErr w:type="spellStart"/>
      <w:r>
        <w:t>Elsevier</w:t>
      </w:r>
      <w:proofErr w:type="spellEnd"/>
    </w:p>
    <w:sectPr w:rsidR="00F67BE8" w:rsidRPr="00F20D01" w:rsidSect="00C43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12F" w:rsidRDefault="0042112F" w:rsidP="0042112F">
      <w:pPr>
        <w:spacing w:after="0" w:line="240" w:lineRule="auto"/>
      </w:pPr>
      <w:r>
        <w:separator/>
      </w:r>
    </w:p>
  </w:endnote>
  <w:endnote w:type="continuationSeparator" w:id="0">
    <w:p w:rsidR="0042112F" w:rsidRDefault="0042112F" w:rsidP="00421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12F" w:rsidRDefault="0042112F" w:rsidP="0042112F">
      <w:pPr>
        <w:spacing w:after="0" w:line="240" w:lineRule="auto"/>
      </w:pPr>
      <w:r>
        <w:separator/>
      </w:r>
    </w:p>
  </w:footnote>
  <w:footnote w:type="continuationSeparator" w:id="0">
    <w:p w:rsidR="0042112F" w:rsidRDefault="0042112F" w:rsidP="00421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35"/>
    <w:rsid w:val="0008774B"/>
    <w:rsid w:val="000A159D"/>
    <w:rsid w:val="000B746F"/>
    <w:rsid w:val="001A36E3"/>
    <w:rsid w:val="001F7762"/>
    <w:rsid w:val="00200A11"/>
    <w:rsid w:val="002423BC"/>
    <w:rsid w:val="002A69F0"/>
    <w:rsid w:val="002B018A"/>
    <w:rsid w:val="002B2C79"/>
    <w:rsid w:val="002E2205"/>
    <w:rsid w:val="002E2E51"/>
    <w:rsid w:val="003127F4"/>
    <w:rsid w:val="003511FA"/>
    <w:rsid w:val="003853C5"/>
    <w:rsid w:val="003B4705"/>
    <w:rsid w:val="0042112F"/>
    <w:rsid w:val="004574EB"/>
    <w:rsid w:val="004643BA"/>
    <w:rsid w:val="004A121A"/>
    <w:rsid w:val="004F0FAB"/>
    <w:rsid w:val="004F5A61"/>
    <w:rsid w:val="005B7756"/>
    <w:rsid w:val="005F2F7D"/>
    <w:rsid w:val="00654325"/>
    <w:rsid w:val="00663C57"/>
    <w:rsid w:val="00676E15"/>
    <w:rsid w:val="006B7918"/>
    <w:rsid w:val="006D74EB"/>
    <w:rsid w:val="00702673"/>
    <w:rsid w:val="0070748C"/>
    <w:rsid w:val="00720400"/>
    <w:rsid w:val="00751B34"/>
    <w:rsid w:val="00792D0B"/>
    <w:rsid w:val="007B383E"/>
    <w:rsid w:val="007D6899"/>
    <w:rsid w:val="007E33DC"/>
    <w:rsid w:val="008149A5"/>
    <w:rsid w:val="00831E27"/>
    <w:rsid w:val="00845FE0"/>
    <w:rsid w:val="008F1B49"/>
    <w:rsid w:val="00907818"/>
    <w:rsid w:val="00961B5F"/>
    <w:rsid w:val="009F071F"/>
    <w:rsid w:val="00A00AAF"/>
    <w:rsid w:val="00A0139B"/>
    <w:rsid w:val="00A10443"/>
    <w:rsid w:val="00A43EFD"/>
    <w:rsid w:val="00AE3DC3"/>
    <w:rsid w:val="00AE714C"/>
    <w:rsid w:val="00B36B35"/>
    <w:rsid w:val="00B865E0"/>
    <w:rsid w:val="00C109F3"/>
    <w:rsid w:val="00C439FF"/>
    <w:rsid w:val="00C56B91"/>
    <w:rsid w:val="00CA6875"/>
    <w:rsid w:val="00D32CED"/>
    <w:rsid w:val="00D4605C"/>
    <w:rsid w:val="00D84363"/>
    <w:rsid w:val="00DB5C5C"/>
    <w:rsid w:val="00E44EFA"/>
    <w:rsid w:val="00E70ABC"/>
    <w:rsid w:val="00E918C1"/>
    <w:rsid w:val="00EA4587"/>
    <w:rsid w:val="00F02799"/>
    <w:rsid w:val="00F0305B"/>
    <w:rsid w:val="00F20D01"/>
    <w:rsid w:val="00F329A3"/>
    <w:rsid w:val="00F52A02"/>
    <w:rsid w:val="00F67BE8"/>
    <w:rsid w:val="00FE794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7CE8"/>
  <w15:chartTrackingRefBased/>
  <w15:docId w15:val="{7AF8CDF8-EA6E-47ED-90BD-A8F8BC6B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C5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018A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21A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18A"/>
    <w:rPr>
      <w:rFonts w:ascii="Calibri" w:eastAsiaTheme="majorEastAsia" w:hAnsi="Calibri" w:cstheme="majorBidi"/>
      <w:b/>
      <w:sz w:val="28"/>
      <w:szCs w:val="32"/>
    </w:rPr>
  </w:style>
  <w:style w:type="paragraph" w:customStyle="1" w:styleId="Figure">
    <w:name w:val="Figure"/>
    <w:basedOn w:val="Normal"/>
    <w:link w:val="FigureChar"/>
    <w:qFormat/>
    <w:rsid w:val="00845FE0"/>
    <w:pPr>
      <w:spacing w:after="240" w:line="240" w:lineRule="auto"/>
      <w:ind w:left="1418" w:hanging="1418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2B018A"/>
    <w:pPr>
      <w:spacing w:after="120" w:line="240" w:lineRule="auto"/>
      <w:ind w:left="1418" w:hanging="1418"/>
    </w:pPr>
  </w:style>
  <w:style w:type="character" w:customStyle="1" w:styleId="FigureChar">
    <w:name w:val="Figure Char"/>
    <w:basedOn w:val="Heading1Char"/>
    <w:link w:val="Figure"/>
    <w:rsid w:val="00845FE0"/>
    <w:rPr>
      <w:rFonts w:ascii="Calibri" w:eastAsiaTheme="majorEastAsia" w:hAnsi="Calibri" w:cstheme="majorBidi"/>
      <w:b w:val="0"/>
      <w:sz w:val="28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B01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121A"/>
    <w:rPr>
      <w:rFonts w:eastAsiaTheme="majorEastAsia" w:cstheme="majorBidi"/>
      <w:i/>
      <w:szCs w:val="26"/>
    </w:rPr>
  </w:style>
  <w:style w:type="paragraph" w:styleId="Header">
    <w:name w:val="header"/>
    <w:basedOn w:val="Normal"/>
    <w:link w:val="HeaderChar"/>
    <w:uiPriority w:val="99"/>
    <w:unhideWhenUsed/>
    <w:rsid w:val="00421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12F"/>
  </w:style>
  <w:style w:type="paragraph" w:styleId="Footer">
    <w:name w:val="footer"/>
    <w:basedOn w:val="Normal"/>
    <w:link w:val="FooterChar"/>
    <w:uiPriority w:val="99"/>
    <w:unhideWhenUsed/>
    <w:rsid w:val="00421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9374-9176-4F02-868B-87D063A3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Fontaine</dc:creator>
  <cp:keywords/>
  <dc:description/>
  <cp:lastModifiedBy>Laurent Fontaine</cp:lastModifiedBy>
  <cp:revision>3</cp:revision>
  <dcterms:created xsi:type="dcterms:W3CDTF">2019-12-17T02:07:00Z</dcterms:created>
  <dcterms:modified xsi:type="dcterms:W3CDTF">2019-12-17T02:08:00Z</dcterms:modified>
</cp:coreProperties>
</file>