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b/>
          <w:bCs/>
          <w:color w:val="2E75B6"/>
          <w:sz w:val="28"/>
          <w:szCs w:val="28"/>
        </w:rPr>
        <w:t xml:space="preserve">EQUITY RESEARCH REPORT</w:t>
      </w:r>
    </w:p>
    <w:p>
      <w:pPr>
        <w:spacing w:after="0" w:before="200"/>
      </w:pPr>
      <w:r>
        <w:rPr>
          <w:b/>
          <w:bCs/>
          <w:color w:val="1F3864"/>
          <w:sz w:val="52"/>
          <w:szCs w:val="52"/>
        </w:rPr>
        <w:t xml:space="preserve">Amazon.com, Inc.</w:t>
      </w:r>
    </w:p>
    <w:p>
      <w:pPr>
        <w:spacing w:after="300" w:before="60"/>
      </w:pPr>
      <w:r>
        <w:rPr>
          <w:color w:val="595959"/>
          <w:sz w:val="22"/>
          <w:szCs w:val="22"/>
        </w:rPr>
        <w:t xml:space="preserve">Nasdaq: AMZN  ·  Cloud Computing · E-Commerce · Digital Advertising  ·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Value</w:t>
            </w:r>
          </w:p>
        </w:tc>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Note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Share price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~US$246</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early Jun 2026</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Market cap</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~US$2.6 tn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mega-cap</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 revenue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US$717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+12% YoY</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 operating income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US$80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+17% YoY</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 net income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US$77.7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+31% YoY</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Q1'26 revenue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US$181.5 bn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+17% YoY</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Q1'26 AWS growth</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+28%</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15-quarter high</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P/E (trailing)</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~29–33x</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near 5-yr lows</w:t>
            </w:r>
          </w:p>
        </w:tc>
      </w:tr>
    </w:tbl>
    <w:p>
      <w:pPr>
        <w:spacing w:before="300"/>
      </w:pPr>
      <w:r>
        <w:rPr>
          <w:i/>
          <w:iCs/>
          <w:color w:val="595959"/>
          <w:sz w:val="20"/>
          <w:szCs w:val="20"/>
        </w:rPr>
        <w:t xml:space="preserve">Prepared for: laurentbello@gmail.com  ·  IWP Portfolio Research</w:t>
      </w:r>
    </w:p>
    <w:p>
      <w:r>
        <w:rPr>
          <w:i/>
          <w:iCs/>
          <w:color w:val="595959"/>
          <w:sz w:val="18"/>
          <w:szCs w:val="18"/>
        </w:rPr>
        <w:t xml:space="preserve">Data as of late May 2026. Informational research only — not investment advice. Verify figures before acting.</w:t>
      </w:r>
    </w:p>
    <w:p>
      <w:r>
        <w:br w:type="page"/>
      </w:r>
    </w:p>
    <w:p>
      <w:pPr>
        <w:pStyle w:val="Heading1"/>
      </w:pPr>
      <w:r>
        <w:t xml:space="preserve">1. Executive Summary</w:t>
      </w:r>
    </w:p>
    <w:p>
      <w:pPr>
        <w:spacing w:after="120" w:line="276"/>
      </w:pPr>
      <w:r>
        <w:t xml:space="preserve">Amazon enters mid-2026 firing on every cylinder. FY2025 revenue reached $717 billion (+12% YoY), operating income climbed to $80 billion (+17%), and net income jumped 31% to a record $77.7 billion. The Q1 2026 print was a genuine acceleration: $181.5 billion of revenue (+17%), a record 13.1% operating margin, and — most importantly — AWS growth of 28%, its fastest in fifteen quarters, lifting the cloud business to a $150 billion annualized run-rate. The AI workload demand that bulls have promised for two years is now visibly showing up in the numbers.</w:t>
      </w:r>
    </w:p>
    <w:p>
      <w:pPr>
        <w:spacing w:after="120" w:line="276"/>
      </w:pPr>
      <w:r>
        <w:t xml:space="preserve">The company is simultaneously the world's largest e-commerce platform, the leading cloud-infrastructure provider, and a top-three digital-advertising business — three wide-moat franchises under one roof, increasingly tied together by AI. The central tension is capital: Amazon deployed $131.8 billion of capex in 2025 and has guided to roughly $200 billion in 2026, a ~50% increase aimed squarely at AI data-centre capacity. That spend has compressed near-term free cash flow (TTM FCF fell to ~$11 billion) even as it underwrites the next leg of AWS growth.</w:t>
      </w:r>
    </w:p>
    <w:p>
      <w:pPr>
        <w:pStyle w:val="ListParagraph"/>
        <w:numPr>
          <w:ilvl w:val="0"/>
          <w:numId w:val="2"/>
        </w:numPr>
        <w:spacing w:after="60" w:line="276"/>
      </w:pPr>
      <w:r>
        <w:rPr>
          <w:b/>
          <w:bCs/>
        </w:rPr>
        <w:t xml:space="preserve">Bull case: </w:t>
      </w:r>
      <w:r>
        <w:t xml:space="preserve">Three structurally advantaged businesses, AWS re-accelerating on AI, advertising and retail margins expanding, and a multiple (~29–33x) near five-year lows for a franchise compounding earnings ~30%.</w:t>
      </w:r>
    </w:p>
    <w:p>
      <w:pPr>
        <w:pStyle w:val="ListParagraph"/>
        <w:numPr>
          <w:ilvl w:val="0"/>
          <w:numId w:val="2"/>
        </w:numPr>
        <w:spacing w:after="60" w:line="276"/>
      </w:pPr>
      <w:r>
        <w:rPr>
          <w:b/>
          <w:bCs/>
        </w:rPr>
        <w:t xml:space="preserve">Bear case: </w:t>
      </w:r>
      <w:r>
        <w:t xml:space="preserve">A ~$200 bn capex bet that depresses free cash flow and must earn its return; AWS faces aggressive cloud and AI competition; and any AI-demand air-pocket would leave a lot of stranded capacity and disappointed cash-flow expectations.</w:t>
      </w:r>
    </w:p>
    <w:p>
      <w:pPr>
        <w:pStyle w:val="ListParagraph"/>
        <w:numPr>
          <w:ilvl w:val="0"/>
          <w:numId w:val="2"/>
        </w:numPr>
        <w:spacing w:after="60" w:line="276"/>
      </w:pPr>
      <w:r>
        <w:rPr>
          <w:b/>
          <w:bCs/>
        </w:rPr>
        <w:t xml:space="preserve">Our read: </w:t>
      </w:r>
      <w:r>
        <w:t xml:space="preserve">A rare combination of mega-cap scale, widening AI-cloud leadership, and a relatively undemanding multiple. The quality is unimpeachable; the open question is whether the historic capex cycle converts into durable returns rather than a margin and cash-flow drag.</w:t>
      </w:r>
    </w:p>
    <w:p>
      <w:pPr>
        <w:pBdr>
          <w:bottom w:val="single" w:color="2E75B6" w:sz="6" w:space="1"/>
        </w:pBdr>
        <w:spacing w:after="120"/>
      </w:pPr>
      <w:r>
        <w:t xml:space="preserve"/>
      </w:r>
    </w:p>
    <w:p>
      <w:pPr>
        <w:pStyle w:val="Heading1"/>
      </w:pPr>
      <w:r>
        <w:t xml:space="preserve">2. Business Overview</w:t>
      </w:r>
    </w:p>
    <w:p>
      <w:pPr>
        <w:spacing w:after="120" w:line="276"/>
      </w:pPr>
      <w:r>
        <w:t xml:space="preserve">Amazon reports across three segments — North America, International, and AWS — but the economic reality is four distinct engines: retail (first- and third-party), cloud (AWS), advertising, and subscriptions (Prime). AWS is the profit centre; retail provides scale, data and the customer relationship; advertising is the high-margin layer monetising that traffic.</w:t>
      </w:r>
    </w:p>
    <w:p>
      <w:pPr>
        <w:pStyle w:val="ListParagraph"/>
        <w:numPr>
          <w:ilvl w:val="0"/>
          <w:numId w:val="2"/>
        </w:numPr>
        <w:spacing w:after="60" w:line="276"/>
      </w:pPr>
      <w:r>
        <w:rPr>
          <w:b/>
          <w:bCs/>
        </w:rPr>
        <w:t xml:space="preserve">AWS — the profit engine: </w:t>
      </w:r>
      <w:r>
        <w:t xml:space="preserve">The global cloud-infrastructure leader at a ~$150 bn annualized run-rate, AWS generated the bulk of Amazon's operating income (~$45.6 bn in FY2025). Q1'26 growth re-accelerated to 28% as generative-AI workloads, custom Trainium/Inferentia silicon, and Bedrock model services drove demand.</w:t>
      </w:r>
    </w:p>
    <w:p>
      <w:pPr>
        <w:pStyle w:val="ListParagraph"/>
        <w:numPr>
          <w:ilvl w:val="0"/>
          <w:numId w:val="2"/>
        </w:numPr>
        <w:spacing w:after="60" w:line="276"/>
      </w:pPr>
      <w:r>
        <w:rPr>
          <w:b/>
          <w:bCs/>
        </w:rPr>
        <w:t xml:space="preserve">Retail &amp; logistics: </w:t>
      </w:r>
      <w:r>
        <w:t xml:space="preserve">The largest Western e-commerce platform, underpinned by a fulfilment and logistics network that is itself a moat. Regionalisation and automation have steadily lifted North America and International retail margins.</w:t>
      </w:r>
    </w:p>
    <w:p>
      <w:pPr>
        <w:pStyle w:val="ListParagraph"/>
        <w:numPr>
          <w:ilvl w:val="0"/>
          <w:numId w:val="2"/>
        </w:numPr>
        <w:spacing w:after="60" w:line="276"/>
      </w:pPr>
      <w:r>
        <w:rPr>
          <w:b/>
          <w:bCs/>
        </w:rPr>
        <w:t xml:space="preserve">Advertising: </w:t>
      </w:r>
      <w:r>
        <w:t xml:space="preserve">A fast-growing, high-margin business — Q4'25 advertising revenue was $21.3 bn (+22%) — monetising Amazon's first-party purchase data and Prime Video inventory. It is now one of the largest ad platforms globally and a key margin driver.</w:t>
      </w:r>
    </w:p>
    <w:p>
      <w:pPr>
        <w:pStyle w:val="ListParagraph"/>
        <w:numPr>
          <w:ilvl w:val="0"/>
          <w:numId w:val="2"/>
        </w:numPr>
        <w:spacing w:after="60" w:line="276"/>
      </w:pPr>
      <w:r>
        <w:rPr>
          <w:b/>
          <w:bCs/>
        </w:rPr>
        <w:t xml:space="preserve">Prime &amp; subscriptions: </w:t>
      </w:r>
      <w:r>
        <w:t xml:space="preserve">Prime membership locks in purchase frequency and loyalty, bundling shipping, video, music and more — the flywheel that feeds both retail and advertising.</w:t>
      </w:r>
    </w:p>
    <w:p>
      <w:pPr>
        <w:pBdr>
          <w:bottom w:val="single" w:color="2E75B6" w:sz="6" w:space="1"/>
        </w:pBdr>
        <w:spacing w:after="120"/>
      </w:pPr>
      <w:r>
        <w:t xml:space="preserve"/>
      </w:r>
    </w:p>
    <w:p>
      <w:pPr>
        <w:pStyle w:val="Heading1"/>
      </w:pPr>
      <w:r>
        <w:t xml:space="preserve">3. Financial Performance</w:t>
      </w:r>
    </w:p>
    <w:p>
      <w:pPr>
        <w:pStyle w:val="Heading2"/>
      </w:pPr>
      <w:r>
        <w:t xml:space="preserve">3.1 Full-year 2025</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tblGrid>
      <w:tr>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FY2024</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FY2025</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YoY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Revenue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$638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$717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+12%</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Operating income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$68.6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$80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+17%</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Net income</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$59.2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$77.7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+31%</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Operating cash flow (TTM)</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~$116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$139.5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+20%</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Free cash flow (TTM)</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~$38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~$11.2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B00020"/>
                <w:sz w:val="20"/>
                <w:szCs w:val="20"/>
              </w:rPr>
              <w:t xml:space="preserve">-71%</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Capex</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~$83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$131.8 bn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+59%</w:t>
            </w:r>
          </w:p>
        </w:tc>
      </w:tr>
    </w:tbl>
    <w:p>
      <w:pPr>
        <w:spacing w:after="120" w:line="276"/>
      </w:pPr>
      <w:r>
        <w:t xml:space="preserve"/>
      </w:r>
    </w:p>
    <w:p>
      <w:pPr>
        <w:spacing w:after="120" w:line="276"/>
      </w:pPr>
      <w:r>
        <w:rPr>
          <w:i/>
          <w:iCs/>
        </w:rPr>
        <w:t xml:space="preserve">The story of 2025 is record profitability colliding with a record investment cycle: operating income and net income hit all-time highs, while free cash flow collapsed as capex surged to fund AI capacity. This is the crux of the Amazon debate — accounting earnings are strong, but cash generation is temporarily consumed by the build-out.</w:t>
      </w:r>
    </w:p>
    <w:p>
      <w:pPr>
        <w:pStyle w:val="Heading2"/>
      </w:pPr>
      <w:r>
        <w:t xml:space="preserve">3.2 Q1 2026 — acceleration with record margins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Q1 2026</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Change / note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Revenue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$181.5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+17% YoY (+15% ex-FX)</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Operating income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$23.9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record 13.1% margin</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AWS revenue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$37.6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+28%; 15-qtr high</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AWS operating income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$14.2 bn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$150 bn run-rate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Beat vs guidance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Above high end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revenue &amp; op. income</w:t>
            </w:r>
          </w:p>
        </w:tc>
      </w:tr>
    </w:tbl>
    <w:p>
      <w:pPr>
        <w:spacing w:after="120" w:line="276"/>
      </w:pPr>
      <w:r>
        <w:t xml:space="preserve"/>
      </w:r>
    </w:p>
    <w:p>
      <w:pPr>
        <w:spacing w:after="120" w:line="276"/>
      </w:pPr>
      <w:r>
        <w:rPr>
          <w:i/>
          <w:iCs/>
        </w:rPr>
        <w:t xml:space="preserve">AWS re-acceleration to 28% is the single most important data point — it validates the thesis that AI demand is converting into cloud consumption, and it directly underwrites the case for the elevated capex. The record 13.1% consolidated operating margin shows retail and advertising leverage building in parallel.</w:t>
      </w:r>
    </w:p>
    <w:p>
      <w:pPr>
        <w:pBdr>
          <w:bottom w:val="single" w:color="2E75B6" w:sz="6" w:space="1"/>
        </w:pBdr>
        <w:spacing w:after="120"/>
      </w:pPr>
      <w:r>
        <w:t xml:space="preserve"/>
      </w:r>
    </w:p>
    <w:p>
      <w:pPr>
        <w:pStyle w:val="Heading1"/>
      </w:pPr>
      <w:r>
        <w:t xml:space="preserve">4. Competitive Moat</w:t>
      </w:r>
    </w:p>
    <w:p>
      <w:pPr>
        <w:spacing w:after="120" w:line="276"/>
      </w:pPr>
      <w:r>
        <w:t xml:space="preserve">Amazon is one of a small handful of businesses with multiple, mutually reinforcing moats. Each franchise would be a wide-moat company on its own; together they form an ecosystem with formidable switching costs, scale advantages, and data network effects.</w:t>
      </w:r>
    </w:p>
    <w:p>
      <w:pPr>
        <w:pStyle w:val="ListParagraph"/>
        <w:numPr>
          <w:ilvl w:val="0"/>
          <w:numId w:val="2"/>
        </w:numPr>
        <w:spacing w:after="60" w:line="276"/>
      </w:pPr>
      <w:r>
        <w:rPr>
          <w:b/>
          <w:bCs/>
        </w:rPr>
        <w:t xml:space="preserve">AWS switching costs &amp; scale: </w:t>
      </w:r>
      <w:r>
        <w:t xml:space="preserve">Enterprises build their stacks on AWS primitives; migrating is costly and risky. Scale funds custom silicon (Trainium/Inferentia), the broadest service catalogue, and price/performance leadership that sub-scale rivals struggle to match.</w:t>
      </w:r>
    </w:p>
    <w:p>
      <w:pPr>
        <w:pStyle w:val="ListParagraph"/>
        <w:numPr>
          <w:ilvl w:val="0"/>
          <w:numId w:val="2"/>
        </w:numPr>
        <w:spacing w:after="60" w:line="276"/>
      </w:pPr>
      <w:r>
        <w:rPr>
          <w:b/>
          <w:bCs/>
        </w:rPr>
        <w:t xml:space="preserve">Logistics network effects: </w:t>
      </w:r>
      <w:r>
        <w:t xml:space="preserve">Decades and hundreds of billions of dollars have built a fulfilment and last-mile network that is effectively impossible to replicate. More volume lowers unit cost, which improves selection and speed, which drives more volume.</w:t>
      </w:r>
    </w:p>
    <w:p>
      <w:pPr>
        <w:pStyle w:val="ListParagraph"/>
        <w:numPr>
          <w:ilvl w:val="0"/>
          <w:numId w:val="2"/>
        </w:numPr>
        <w:spacing w:after="60" w:line="276"/>
      </w:pPr>
      <w:r>
        <w:rPr>
          <w:b/>
          <w:bCs/>
        </w:rPr>
        <w:t xml:space="preserve">Data &amp; advertising flywheel: </w:t>
      </w:r>
      <w:r>
        <w:t xml:space="preserve">First-party purchase intent data makes Amazon advertising uniquely effective, monetising the retail platform at software-like margins and reinforcing the retail business it sits on.</w:t>
      </w:r>
    </w:p>
    <w:p>
      <w:pPr>
        <w:pStyle w:val="ListParagraph"/>
        <w:numPr>
          <w:ilvl w:val="0"/>
          <w:numId w:val="2"/>
        </w:numPr>
        <w:spacing w:after="60" w:line="276"/>
      </w:pPr>
      <w:r>
        <w:rPr>
          <w:b/>
          <w:bCs/>
        </w:rPr>
        <w:t xml:space="preserve">Prime ecosystem lock-in: </w:t>
      </w:r>
      <w:r>
        <w:t xml:space="preserve">Prime bundles shipping, media and services into a loyalty engine that raises frequency and retention across the entire ecosystem.</w:t>
      </w:r>
    </w:p>
    <w:p>
      <w:pPr>
        <w:shd w:fill="D9E2F3" w:val="clear"/>
        <w:spacing w:after="120" w:before="120"/>
      </w:pPr>
      <w:r>
        <w:rPr>
          <w:b/>
          <w:bCs/>
          <w:color w:val="1F3864"/>
          <w:sz w:val="28"/>
          <w:szCs w:val="28"/>
        </w:rPr>
        <w:t xml:space="preserve">Moat rating: 9 / 10</w:t>
      </w:r>
      <w:r>
        <w:rPr>
          <w:sz w:val="22"/>
          <w:szCs w:val="22"/>
        </w:rPr>
        <w:t xml:space="preserve">  — A genuine wide-moat compounder: three structurally advantaged businesses — cloud, e-commerce/logistics, and advertising — bound together by Prime and an AI/data flywheel, with switching costs, scale economics and network effects reinforcing one another.</w:t>
      </w:r>
    </w:p>
    <w:p>
      <w:pPr>
        <w:spacing w:after="120" w:line="276"/>
      </w:pPr>
      <w:r>
        <w:t xml:space="preserve">Why a 9 and not a perfect 10? The moats are exceptionally wide and durable, but each faces credible, well-capitalised competition — Microsoft Azure and Google Cloud in the cloud/AI race, Walmart and others in retail, and Meta/Google/Walmart in advertising. The franchise is about as defensible as a company of this scale can be, but it is not an uncontested monopoly, and the AI infrastructure war is intensifying.</w:t>
      </w:r>
    </w:p>
    <w:p>
      <w:pPr>
        <w:pBdr>
          <w:bottom w:val="single" w:color="2E75B6" w:sz="6" w:space="1"/>
        </w:pBdr>
        <w:spacing w:after="120"/>
      </w:pPr>
      <w:r>
        <w:t xml:space="preserve"/>
      </w:r>
    </w:p>
    <w:p>
      <w:pPr>
        <w:pStyle w:val="Heading1"/>
      </w:pPr>
      <w:r>
        <w:t xml:space="preserve">5. Growth Drivers</w:t>
      </w:r>
    </w:p>
    <w:p>
      <w:pPr>
        <w:pStyle w:val="ListParagraph"/>
        <w:numPr>
          <w:ilvl w:val="0"/>
          <w:numId w:val="2"/>
        </w:numPr>
        <w:spacing w:after="60" w:line="276"/>
      </w:pPr>
      <w:r>
        <w:rPr>
          <w:b/>
          <w:bCs/>
        </w:rPr>
        <w:t xml:space="preserve">AI / AWS: </w:t>
      </w:r>
      <w:r>
        <w:t xml:space="preserve">Generative-AI workloads (Bedrock, custom Trainium silicon, agentic services) are re-accelerating AWS — the largest and most profitable growth vector. The $150 bn run-rate is growing at 28% with a long runway as enterprise AI adoption scales.</w:t>
      </w:r>
    </w:p>
    <w:p>
      <w:pPr>
        <w:pStyle w:val="ListParagraph"/>
        <w:numPr>
          <w:ilvl w:val="0"/>
          <w:numId w:val="2"/>
        </w:numPr>
        <w:spacing w:after="60" w:line="276"/>
      </w:pPr>
      <w:r>
        <w:rPr>
          <w:b/>
          <w:bCs/>
        </w:rPr>
        <w:t xml:space="preserve">Advertising: </w:t>
      </w:r>
      <w:r>
        <w:t xml:space="preserve">Among the fastest-growing large ad platforms (&gt;20%), monetising purchase data and Prime Video inventory at high incremental margins — a powerful and under-appreciated profit driver.</w:t>
      </w:r>
    </w:p>
    <w:p>
      <w:pPr>
        <w:pStyle w:val="ListParagraph"/>
        <w:numPr>
          <w:ilvl w:val="0"/>
          <w:numId w:val="2"/>
        </w:numPr>
        <w:spacing w:after="60" w:line="276"/>
      </w:pPr>
      <w:r>
        <w:rPr>
          <w:b/>
          <w:bCs/>
        </w:rPr>
        <w:t xml:space="preserve">Retail margin expansion: </w:t>
      </w:r>
      <w:r>
        <w:t xml:space="preserve">Network regionalisation, automation and robotics continue to lower cost-to-serve, lifting North America and International segment margins toward structurally higher levels.</w:t>
      </w:r>
    </w:p>
    <w:p>
      <w:pPr>
        <w:pStyle w:val="ListParagraph"/>
        <w:numPr>
          <w:ilvl w:val="0"/>
          <w:numId w:val="2"/>
        </w:numPr>
        <w:spacing w:after="60" w:line="276"/>
      </w:pPr>
      <w:r>
        <w:rPr>
          <w:b/>
          <w:bCs/>
        </w:rPr>
        <w:t xml:space="preserve">Operating leverage: </w:t>
      </w:r>
      <w:r>
        <w:t xml:space="preserve">The record 13.1% Q1'26 operating margin shows the model's mix shift toward high-margin cloud and advertising is compounding profitability faster than revenue.</w:t>
      </w:r>
    </w:p>
    <w:p>
      <w:pPr>
        <w:pStyle w:val="ListParagraph"/>
        <w:numPr>
          <w:ilvl w:val="0"/>
          <w:numId w:val="2"/>
        </w:numPr>
        <w:spacing w:after="60" w:line="276"/>
      </w:pPr>
      <w:r>
        <w:rPr>
          <w:b/>
          <w:bCs/>
        </w:rPr>
        <w:t xml:space="preserve">Capex-to-returns: </w:t>
      </w:r>
      <w:r>
        <w:t xml:space="preserve">If the ~$200 bn 2026 capex build converts into AWS revenue at historical returns, today's depressed free cash flow inverts into a powerful FCF recovery in 2027+.</w:t>
      </w:r>
    </w:p>
    <w:p>
      <w:pPr>
        <w:pBdr>
          <w:bottom w:val="single" w:color="2E75B6" w:sz="6" w:space="1"/>
        </w:pBdr>
        <w:spacing w:after="120"/>
      </w:pPr>
      <w:r>
        <w:t xml:space="preserve"/>
      </w:r>
    </w:p>
    <w:p>
      <w:pPr>
        <w:pStyle w:val="Heading1"/>
      </w:pPr>
      <w:r>
        <w:t xml:space="preserve">6. Valuation</w:t>
      </w:r>
    </w:p>
    <w:p>
      <w:pPr>
        <w:spacing w:after="120" w:line="276"/>
      </w:pPr>
      <w:r>
        <w:t xml:space="preserve">Amazon is highly profitable on an earnings basis, so it trades on P/E and forward cash flow — but the multiple sits near five-year lows precisely because the capex cycle has temporarily suppressed free cash flow and spooked cash-flow-focused investors.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Metric</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Approx.</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Comment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Market cap</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~$2.6 tn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mega-cap</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Share price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~$246</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early Jun 2026</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P/E (trailing)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~29–33x</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near 5-yr lows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P/E (forward)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000000"/>
                <w:sz w:val="20"/>
                <w:szCs w:val="20"/>
              </w:rPr>
              <w:t xml:space="preserve">~31x</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on rising EPS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Net income growth</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+31%</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FY2025</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Operating margin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13.1%</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record (Q1'26)</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FCF yield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B00020"/>
                <w:sz w:val="20"/>
                <w:szCs w:val="20"/>
              </w:rPr>
              <w:t xml:space="preserve">low / depressed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capex-driven</w:t>
            </w:r>
          </w:p>
        </w:tc>
      </w:tr>
    </w:tbl>
    <w:p>
      <w:pPr>
        <w:spacing w:after="120" w:line="276"/>
      </w:pPr>
      <w:r>
        <w:t xml:space="preserve"/>
      </w:r>
    </w:p>
    <w:p>
      <w:pPr>
        <w:pStyle w:val="ListParagraph"/>
        <w:numPr>
          <w:ilvl w:val="0"/>
          <w:numId w:val="2"/>
        </w:numPr>
        <w:spacing w:after="60" w:line="276"/>
      </w:pPr>
      <w:r>
        <w:rPr>
          <w:b/>
          <w:bCs/>
        </w:rPr>
        <w:t xml:space="preserve">The bull framing: </w:t>
      </w:r>
      <w:r>
        <w:t xml:space="preserve">A ~29–33x multiple is undemanding for a business growing earnings ~30% with AWS re-accelerating and high-margin advertising compounding. On normalised post-capex free cash flow, the stock looks inexpensive versus its own history and its mega-cap peers.</w:t>
      </w:r>
    </w:p>
    <w:p>
      <w:pPr>
        <w:pStyle w:val="ListParagraph"/>
        <w:numPr>
          <w:ilvl w:val="0"/>
          <w:numId w:val="2"/>
        </w:numPr>
        <w:spacing w:after="60" w:line="276"/>
      </w:pPr>
      <w:r>
        <w:rPr>
          <w:b/>
          <w:bCs/>
        </w:rPr>
        <w:t xml:space="preserve">The bear framing: </w:t>
      </w:r>
      <w:r>
        <w:t xml:space="preserve">On reported free cash flow the stock is optically expensive; the entire thesis rests on a ~$200 bn capex bet paying off. If AI demand disappoints or returns on the build fall short, both earnings and the multiple are exposed.</w:t>
      </w:r>
    </w:p>
    <w:p>
      <w:pPr>
        <w:pBdr>
          <w:bottom w:val="single" w:color="2E75B6" w:sz="6" w:space="1"/>
        </w:pBdr>
        <w:spacing w:after="120"/>
      </w:pPr>
      <w:r>
        <w:t xml:space="preserve"/>
      </w:r>
    </w:p>
    <w:p>
      <w:pPr>
        <w:pStyle w:val="Heading1"/>
      </w:pPr>
      <w:r>
        <w:t xml:space="preserve">7. Price Target &amp; Scenario Analysis</w:t>
      </w:r>
    </w:p>
    <w:p>
      <w:pPr>
        <w:spacing w:after="120" w:line="276"/>
      </w:pPr>
      <w:r>
        <w:t xml:space="preserve">We frame three illustrative, probability-weighted outcomes anchored to the ~$246 spot price. The dominant variable is whether the AI/AWS capex cycle converts into durable cloud growth and a free-cash-flow recovery.</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500"/>
        <w:gridCol w:w="1400"/>
      </w:tblGrid>
      <w:tr>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Scenario</w:t>
            </w:r>
          </w:p>
        </w:tc>
        <w:tc>
          <w:tcPr>
            <w:tcW w:type="dxa" w:w="1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Prob.</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left"/>
            </w:pPr>
            <w:r>
              <w:rPr>
                <w:b/>
                <w:bCs/>
                <w:color w:val="FFFFFF"/>
                <w:sz w:val="20"/>
                <w:szCs w:val="20"/>
              </w:rPr>
              <w:t xml:space="preserve">Core assumption</w:t>
            </w:r>
          </w:p>
        </w:tc>
        <w:tc>
          <w:tcPr>
            <w:tcW w:type="dxa" w:w="1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12–18m target</w:t>
            </w:r>
          </w:p>
        </w:tc>
        <w:tc>
          <w:tcPr>
            <w:tcW w:type="dxa" w:w="1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jc w:val="center"/>
            </w:pPr>
            <w:r>
              <w:rPr>
                <w:b/>
                <w:bCs/>
                <w:color w:val="FFFFFF"/>
                <w:sz w:val="20"/>
                <w:szCs w:val="20"/>
              </w:rPr>
              <w:t xml:space="preserve">vs spot</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Bull</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AWS sustains ~25%+; capex earns returns; margins expand</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$320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2E7D32"/>
                <w:sz w:val="20"/>
                <w:szCs w:val="20"/>
              </w:rPr>
              <w:t xml:space="preserve">+30%</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Base</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sz w:val="20"/>
                <w:szCs w:val="20"/>
              </w:rPr>
              <w:t xml:space="preserve">45%</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AWS ~20%; retail &amp; ad margins grind higher; FCF normalises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$280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val="false"/>
                <w:bCs w:val="false"/>
                <w:color w:val="2E7D32"/>
                <w:sz w:val="20"/>
                <w:szCs w:val="20"/>
              </w:rPr>
              <w:t xml:space="preserve">+14%</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Bear</w:t>
            </w:r>
          </w:p>
        </w:tc>
        <w:tc>
          <w:tcPr>
            <w:tcW w:type="dxa" w:w="1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sz w:val="20"/>
                <w:szCs w:val="20"/>
              </w:rPr>
              <w:t xml:space="preserve">25%</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sz w:val="20"/>
                <w:szCs w:val="20"/>
              </w:rPr>
              <w:t xml:space="preserve">AI demand cools; capex strands; AWS decelerates; FCF stays weak</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000000"/>
                <w:sz w:val="20"/>
                <w:szCs w:val="20"/>
              </w:rPr>
              <w:t xml:space="preserve">$190</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right"/>
            </w:pPr>
            <w:r>
              <w:rPr>
                <w:b/>
                <w:bCs/>
                <w:color w:val="B00020"/>
                <w:sz w:val="20"/>
                <w:szCs w:val="20"/>
              </w:rPr>
              <w:t xml:space="preserve">-23%</w:t>
            </w:r>
          </w:p>
        </w:tc>
      </w:tr>
      <w:tr>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color w:val="000000"/>
                <w:sz w:val="20"/>
                <w:szCs w:val="20"/>
              </w:rPr>
              <w:t xml:space="preserve">Weighted</w:t>
            </w:r>
          </w:p>
        </w:tc>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center"/>
            </w:pPr>
            <w:r>
              <w:rPr>
                <w:b/>
                <w:bCs/>
                <w:color w:val="000000"/>
                <w:sz w:val="20"/>
                <w:szCs w:val="20"/>
              </w:rPr>
              <w:t xml:space="preserve">100%</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color w:val="000000"/>
                <w:sz w:val="20"/>
                <w:szCs w:val="20"/>
              </w:rPr>
              <w:t xml:space="preserve">Probability-weighted expected value</w:t>
            </w:r>
          </w:p>
        </w:tc>
        <w:tc>
          <w:tcPr>
            <w:tcW w:type="dxa" w:w="15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right"/>
            </w:pPr>
            <w:r>
              <w:rPr>
                <w:b/>
                <w:bCs/>
                <w:color w:val="000000"/>
                <w:sz w:val="20"/>
                <w:szCs w:val="20"/>
              </w:rPr>
              <w:t xml:space="preserve">$270</w:t>
            </w:r>
          </w:p>
        </w:tc>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right"/>
            </w:pPr>
            <w:r>
              <w:rPr>
                <w:b/>
                <w:bCs/>
                <w:color w:val="000000"/>
                <w:sz w:val="20"/>
                <w:szCs w:val="20"/>
              </w:rPr>
              <w:t xml:space="preserve">+10%</w:t>
            </w:r>
          </w:p>
        </w:tc>
      </w:tr>
    </w:tbl>
    <w:p>
      <w:pPr>
        <w:spacing w:after="120" w:line="276"/>
      </w:pPr>
      <w:r>
        <w:t xml:space="preserve"/>
      </w:r>
    </w:p>
    <w:p>
      <w:pPr>
        <w:spacing w:after="120" w:line="276"/>
      </w:pPr>
      <w:r>
        <w:rPr>
          <w:i/>
          <w:iCs/>
        </w:rPr>
        <w:t xml:space="preserve">The probability-weighted target sits ~10% above spot with a favourable skew: the bull case is a credible ~30% upside if the AI capex compounds, while the bear downside (~23%) is cushioned by record earnings, a near-trough multiple, and multiple profit engines. This is a quality compounder where the capex cycle — not the franchise — drives the risk.</w:t>
      </w:r>
    </w:p>
    <w:p>
      <w:pPr>
        <w:pStyle w:val="ListParagraph"/>
        <w:numPr>
          <w:ilvl w:val="0"/>
          <w:numId w:val="2"/>
        </w:numPr>
        <w:spacing w:after="60" w:line="276"/>
      </w:pPr>
      <w:r>
        <w:rPr>
          <w:b/>
          <w:bCs/>
        </w:rPr>
        <w:t xml:space="preserve">Bull triggers: </w:t>
      </w:r>
      <w:r>
        <w:t xml:space="preserve">AWS growth holding 25%+; visible free-cash-flow recovery as capacity monetises; continued advertising and retail-margin expansion; AI service traction (Bedrock, agents, custom silicon).</w:t>
      </w:r>
    </w:p>
    <w:p>
      <w:pPr>
        <w:pStyle w:val="ListParagraph"/>
        <w:numPr>
          <w:ilvl w:val="0"/>
          <w:numId w:val="2"/>
        </w:numPr>
        <w:spacing w:after="60" w:line="276"/>
      </w:pPr>
      <w:r>
        <w:rPr>
          <w:b/>
          <w:bCs/>
        </w:rPr>
        <w:t xml:space="preserve">Bear triggers: </w:t>
      </w:r>
      <w:r>
        <w:t xml:space="preserve">AWS deceleration; AI-demand air-pocket leaving stranded capacity; capex overruns beyond $200 bn with no FCF recovery; competitive share loss to Azure/Google Cloud.</w:t>
      </w:r>
    </w:p>
    <w:p>
      <w:pPr>
        <w:pBdr>
          <w:bottom w:val="single" w:color="2E75B6" w:sz="6" w:space="1"/>
        </w:pBdr>
        <w:spacing w:after="120"/>
      </w:pPr>
      <w:r>
        <w:t xml:space="preserve"/>
      </w:r>
    </w:p>
    <w:p>
      <w:pPr>
        <w:pStyle w:val="Heading1"/>
      </w:pPr>
      <w:r>
        <w:t xml:space="preserve">8. Key Risks</w:t>
      </w:r>
    </w:p>
    <w:p>
      <w:pPr>
        <w:pStyle w:val="ListParagraph"/>
        <w:numPr>
          <w:ilvl w:val="0"/>
          <w:numId w:val="2"/>
        </w:numPr>
        <w:spacing w:after="60" w:line="276"/>
      </w:pPr>
      <w:r>
        <w:rPr>
          <w:b/>
          <w:bCs/>
        </w:rPr>
        <w:t xml:space="preserve">Capex / free-cash-flow risk: </w:t>
      </w:r>
      <w:r>
        <w:t xml:space="preserve">The ~$200 bn 2026 capex plan (up ~50%) has depressed FCF and must convert into AWS returns; a shortfall would pressure both cash flow and sentiment.</w:t>
      </w:r>
    </w:p>
    <w:p>
      <w:pPr>
        <w:pStyle w:val="ListParagraph"/>
        <w:numPr>
          <w:ilvl w:val="0"/>
          <w:numId w:val="2"/>
        </w:numPr>
        <w:spacing w:after="60" w:line="276"/>
      </w:pPr>
      <w:r>
        <w:rPr>
          <w:b/>
          <w:bCs/>
        </w:rPr>
        <w:t xml:space="preserve">AI-demand durability: </w:t>
      </w:r>
      <w:r>
        <w:t xml:space="preserve">Much of the AWS re-acceleration and the capex case rests on sustained generative-AI demand; a slowdown would strand capacity and disappoint expectations.</w:t>
      </w:r>
    </w:p>
    <w:p>
      <w:pPr>
        <w:pStyle w:val="ListParagraph"/>
        <w:numPr>
          <w:ilvl w:val="0"/>
          <w:numId w:val="2"/>
        </w:numPr>
        <w:spacing w:after="60" w:line="276"/>
      </w:pPr>
      <w:r>
        <w:rPr>
          <w:b/>
          <w:bCs/>
        </w:rPr>
        <w:t xml:space="preserve">Cloud competition: </w:t>
      </w:r>
      <w:r>
        <w:t xml:space="preserve">Microsoft Azure and Google Cloud are formidable, well-funded rivals in both cloud and AI infrastructure, pressuring growth and pricing.</w:t>
      </w:r>
    </w:p>
    <w:p>
      <w:pPr>
        <w:pStyle w:val="ListParagraph"/>
        <w:numPr>
          <w:ilvl w:val="0"/>
          <w:numId w:val="2"/>
        </w:numPr>
        <w:spacing w:after="60" w:line="276"/>
      </w:pPr>
      <w:r>
        <w:rPr>
          <w:b/>
          <w:bCs/>
        </w:rPr>
        <w:t xml:space="preserve">Regulatory / antitrust: </w:t>
      </w:r>
      <w:r>
        <w:t xml:space="preserve">Amazon faces ongoing antitrust scrutiny (FTC and global regulators) across retail, marketplace practices and bundling, a structural overhang.</w:t>
      </w:r>
    </w:p>
    <w:p>
      <w:pPr>
        <w:pStyle w:val="ListParagraph"/>
        <w:numPr>
          <w:ilvl w:val="0"/>
          <w:numId w:val="2"/>
        </w:numPr>
        <w:spacing w:after="60" w:line="276"/>
      </w:pPr>
      <w:r>
        <w:rPr>
          <w:b/>
          <w:bCs/>
        </w:rPr>
        <w:t xml:space="preserve">Retail cyclicality &amp; tariffs: </w:t>
      </w:r>
      <w:r>
        <w:t xml:space="preserve">Consumer-spending softness, FX, and tariff/trade policy can pressure the lower-margin retail segments and international results.</w:t>
      </w:r>
    </w:p>
    <w:p>
      <w:pPr>
        <w:pStyle w:val="ListParagraph"/>
        <w:numPr>
          <w:ilvl w:val="0"/>
          <w:numId w:val="2"/>
        </w:numPr>
        <w:spacing w:after="60" w:line="276"/>
      </w:pPr>
      <w:r>
        <w:rPr>
          <w:b/>
          <w:bCs/>
        </w:rPr>
        <w:t xml:space="preserve">Execution &amp; scale complexity: </w:t>
      </w:r>
      <w:r>
        <w:t xml:space="preserve">Managing a ~$700 bn-revenue, multi-business empire and a historic infrastructure build introduces operational and capital-allocation risk.</w:t>
      </w:r>
    </w:p>
    <w:p>
      <w:pPr>
        <w:pBdr>
          <w:bottom w:val="single" w:color="2E75B6" w:sz="6" w:space="1"/>
        </w:pBdr>
        <w:spacing w:after="120"/>
      </w:pPr>
      <w:r>
        <w:t xml:space="preserve"/>
      </w:r>
    </w:p>
    <w:p>
      <w:pPr>
        <w:pStyle w:val="Heading1"/>
      </w:pPr>
      <w:r>
        <w:t xml:space="preserve">9. Investment View</w:t>
      </w:r>
    </w:p>
    <w:p>
      <w:pPr>
        <w:spacing w:after="120" w:line="276"/>
      </w:pPr>
      <w:r>
        <w:t xml:space="preserve">Amazon is a rare asset: three wide-moat businesses — the world's leading cloud platform, the dominant Western e-commerce and logistics network, and a top-tier advertising engine — compounding together inside one ecosystem. FY2025 delivered record operating and net income, and Q1 2026's 28% AWS re-acceleration is hard evidence that AI demand is now flowing into the most profitable part of the company.</w:t>
      </w:r>
    </w:p>
    <w:p>
      <w:pPr>
        <w:spacing w:after="120" w:line="276"/>
      </w:pPr>
      <w:r>
        <w:t xml:space="preserve">The debate is not about quality but about the capital cycle. Amazon is making a historic ~$200 bn bet on AI infrastructure that has temporarily collapsed free cash flow and pushed the multiple near five-year lows. If that build earns its return — and the AWS re-acceleration suggests it is starting to — both earnings and cash flow inflect higher from an already-cheap base. If AI demand stalls, the company is left holding expensive, under-utilised capacity.</w:t>
      </w:r>
    </w:p>
    <w:p>
      <w:pPr>
        <w:spacing w:after="120" w:line="276"/>
      </w:pPr>
      <w:r>
        <w:rPr>
          <w:i w:val="false"/>
          <w:iCs w:val="false"/>
        </w:rPr>
        <w:t xml:space="preserve">Our probability-weighted scenario work (Section 7) implies fair value near $270 — about 10% above the ~$246 spot — with a favourable skew given the record earnings, near-trough multiple, and diversified profit engines cushioning the downside. We would treat Amazon as a high-conviction, core mega-cap holding: own the quality and the AI-cloud optionality, and accumulate on capex-driven weakness, sized to ride out a multi-year investment cycle.</w:t>
      </w:r>
    </w:p>
    <w:p>
      <w:pPr>
        <w:pStyle w:val="ListParagraph"/>
        <w:numPr>
          <w:ilvl w:val="0"/>
          <w:numId w:val="2"/>
        </w:numPr>
        <w:spacing w:after="60" w:line="276"/>
      </w:pPr>
      <w:r>
        <w:rPr>
          <w:b/>
          <w:bCs/>
        </w:rPr>
        <w:t xml:space="preserve">Suitable for: </w:t>
      </w:r>
      <w:r>
        <w:t xml:space="preserve">Long-term, quality-oriented investors who want diversified exposure to cloud/AI, e-commerce and advertising and can look through a near-term free-cash-flow trough.</w:t>
      </w:r>
    </w:p>
    <w:p>
      <w:pPr>
        <w:pStyle w:val="ListParagraph"/>
        <w:numPr>
          <w:ilvl w:val="0"/>
          <w:numId w:val="2"/>
        </w:numPr>
        <w:spacing w:after="60" w:line="276"/>
      </w:pPr>
      <w:r>
        <w:rPr>
          <w:b/>
          <w:bCs/>
        </w:rPr>
        <w:t xml:space="preserve">Less suitable for: </w:t>
      </w:r>
      <w:r>
        <w:t xml:space="preserve">Investors who value reported free cash flow today or want to avoid the binary risk on a historic AI capex bet.</w:t>
      </w:r>
    </w:p>
    <w:p>
      <w:pPr>
        <w:pStyle w:val="ListParagraph"/>
        <w:numPr>
          <w:ilvl w:val="0"/>
          <w:numId w:val="2"/>
        </w:numPr>
        <w:spacing w:after="60" w:line="276"/>
      </w:pPr>
      <w:r>
        <w:rPr>
          <w:b/>
          <w:bCs/>
        </w:rPr>
        <w:t xml:space="preserve">Watch items: </w:t>
      </w:r>
      <w:r>
        <w:t xml:space="preserve">AWS growth trajectory and backlog; quarterly capex vs the ~$200 bn guide and any FCF recovery; advertising growth; retail segment margins; antitrust developments; AI service adoption (Bedrock, agents, Trainium).</w:t>
      </w:r>
    </w:p>
    <w:p>
      <w:pPr>
        <w:spacing w:before="200"/>
      </w:pPr>
      <w:r>
        <w:rPr>
          <w:b/>
          <w:bCs/>
          <w:color w:val="595959"/>
          <w:sz w:val="20"/>
          <w:szCs w:val="20"/>
        </w:rPr>
        <w:t xml:space="preserve">Disclaimer</w:t>
      </w:r>
    </w:p>
    <w:p>
      <w:r>
        <w:rPr>
          <w:i/>
          <w:iCs/>
          <w:color w:val="595959"/>
          <w:sz w:val="18"/>
          <w:szCs w:val="18"/>
        </w:rPr>
        <w:t xml:space="preserve">This report is for informational and educational purposes only and does not constitute investment advice, a recommendation, or an offer to buy or sell any security. Figures are drawn from public sources and company disclosures as of late May 2026 and should be independently verified. Past performance is not indicative of future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IWP Portfolio Research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color w:val="595959"/>
        <w:sz w:val="16"/>
        <w:szCs w:val="16"/>
      </w:rPr>
      <w:t xml:space="preserve">Amazon.com, Inc. — Equity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2026-06-08T07:09:34.606Z</dcterms:created>
  <dcterms:modified xsi:type="dcterms:W3CDTF">2026-06-08T07:09:34.620Z</dcterms:modified>
</cp:coreProperties>
</file>

<file path=docProps/custom.xml><?xml version="1.0" encoding="utf-8"?>
<Properties xmlns="http://schemas.openxmlformats.org/officeDocument/2006/custom-properties" xmlns:vt="http://schemas.openxmlformats.org/officeDocument/2006/docPropsVTypes"/>
</file>