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b/>
          <w:bCs/>
          <w:color w:val="2E75B6"/>
          <w:sz w:val="28"/>
          <w:szCs w:val="28"/>
        </w:rPr>
        <w:t xml:space="preserve">EQUITY RESEARCH REPORT</w:t>
      </w:r>
    </w:p>
    <w:p>
      <w:pPr>
        <w:spacing w:after="0" w:before="200"/>
      </w:pPr>
      <w:r>
        <w:rPr>
          <w:b/>
          <w:bCs/>
          <w:color w:val="1F3864"/>
          <w:sz w:val="52"/>
          <w:szCs w:val="52"/>
        </w:rPr>
        <w:t xml:space="preserve">QXO, Inc.</w:t>
      </w:r>
    </w:p>
    <w:p>
      <w:pPr>
        <w:spacing w:after="300" w:before="60"/>
      </w:pPr>
      <w:r>
        <w:rPr>
          <w:color w:val="595959"/>
          <w:sz w:val="22"/>
          <w:szCs w:val="22"/>
        </w:rPr>
        <w:t xml:space="preserve">NYSE: QXO  ·  Building Products Distribution (tech-enabled roll-up)  ·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Value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Note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~US$17</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after recent weakness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~US$12.1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EV ~US$14 bn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net sales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US$6.84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Beacon from Apr'25</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adj. EBITDA</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US$648 m</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9.5% margin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Q1'26 net sales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US$1.73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industry 'softness'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Pending deal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TopBuild ~$17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close ~Q3'26</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Combined revenue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&gt;US$18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post-TopBuild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Ambition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US$50 bn rev</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within a decade</w:t>
            </w:r>
          </w:p>
        </w:tc>
      </w:tr>
    </w:tbl>
    <w:p>
      <w:pPr>
        <w:spacing w:before="300"/>
      </w:pPr>
      <w:r>
        <w:rPr>
          <w:i/>
          <w:iCs/>
          <w:color w:val="595959"/>
          <w:sz w:val="20"/>
          <w:szCs w:val="20"/>
        </w:rPr>
        <w:t xml:space="preserve">Prepared for: laurentbello@gmail.com  ·  IWP Portfolio Research</w:t>
      </w:r>
    </w:p>
    <w:p>
      <w:r>
        <w:rPr>
          <w:i/>
          <w:iCs/>
          <w:color w:val="595959"/>
          <w:sz w:val="18"/>
          <w:szCs w:val="18"/>
        </w:rPr>
        <w:t xml:space="preserve">Data as of late May 2026. Informational research only — not investment advice. Verify figures before acting.</w:t>
      </w:r>
    </w:p>
    <w:p>
      <w:r>
        <w:br w:type="page"/>
      </w:r>
    </w:p>
    <w:p>
      <w:pPr>
        <w:pStyle w:val="Heading1"/>
      </w:pPr>
      <w:r>
        <w:t xml:space="preserve">1. Executive Summary</w:t>
      </w:r>
    </w:p>
    <w:p>
      <w:pPr>
        <w:spacing w:after="120" w:line="276"/>
      </w:pPr>
      <w:r>
        <w:t xml:space="preserve">QXO, Inc. is a bet on a person and a playbook more than on a current set of financials. In under two years, serial acquirer Brad Jacobs has converted a ~$57 million tech-services shell into North America's largest publicly-traded building-products distributor, deploying more than $13 billion of acquisitions in eleven months — Beacon Roofing ($11 bn, April 2025), Kodiak Building Partners ($2.25 bn, April 2026) — and announcing the landmark $17 billion TopBuild deal in April 2026. The stated ambition is $50 billion of revenue within a decade.</w:t>
      </w:r>
    </w:p>
    <w:p>
      <w:pPr>
        <w:spacing w:after="120" w:line="276"/>
      </w:pPr>
      <w:r>
        <w:t xml:space="preserve">The financials, however, reflect a company mid-construction. FY2025 net sales were $6.84 billion with adjusted EBITDA of $648 million (9.5% margin) but a GAAP loss of $(0.63)/share. Q1 2026 laid the tension bare: $1.73 billion of sales, an adjusted net loss of $(0.12)/share, and adjusted EBITDA of just $1.2 million as building-products demand softened and the company spent heavily on people and technology. This is a roll-up being built through a cyclical trough.</w:t>
      </w:r>
    </w:p>
    <w:p>
      <w:pPr>
        <w:pStyle w:val="ListParagraph"/>
        <w:numPr>
          <w:ilvl w:val="0"/>
          <w:numId w:val="2"/>
        </w:numPr>
        <w:spacing w:after="60" w:line="276"/>
      </w:pPr>
      <w:r>
        <w:rPr>
          <w:b/>
          <w:bCs/>
        </w:rPr>
        <w:t xml:space="preserve">Bull case: </w:t>
      </w:r>
      <w:r>
        <w:t xml:space="preserve">A proven operator-acquirer (Jacobs' prior platforms returned ~300x cumulatively) consolidating an $800 bn+ fragmented market, with a tech-enabled distribution model, scale procurement, and a long M&amp;A runway.</w:t>
      </w:r>
    </w:p>
    <w:p>
      <w:pPr>
        <w:pStyle w:val="ListParagraph"/>
        <w:numPr>
          <w:ilvl w:val="0"/>
          <w:numId w:val="2"/>
        </w:numPr>
        <w:spacing w:after="60" w:line="276"/>
      </w:pPr>
      <w:r>
        <w:rPr>
          <w:b/>
          <w:bCs/>
        </w:rPr>
        <w:t xml:space="preserve">Bear case: </w:t>
      </w:r>
      <w:r>
        <w:t xml:space="preserve">Near-zero current profitability, a cyclical end-market in a downturn, heavy share issuance to fund deals, and a valuation underwritten on a decade-out promise rather than today's cash flows.</w:t>
      </w:r>
    </w:p>
    <w:p>
      <w:pPr>
        <w:pStyle w:val="ListParagraph"/>
        <w:numPr>
          <w:ilvl w:val="0"/>
          <w:numId w:val="2"/>
        </w:numPr>
        <w:spacing w:after="60" w:line="276"/>
      </w:pPr>
      <w:r>
        <w:rPr>
          <w:b/>
          <w:bCs/>
        </w:rPr>
        <w:t xml:space="preserve">Our read: </w:t>
      </w:r>
      <w:r>
        <w:t xml:space="preserve">A high-variance special-situation. The quality of the jockey is exceptional and the addressable market is real, but the moat is thin, the execution risk is front-loaded, and the entry price embeds a great deal of faith. Size as a speculative position, not a core compounder.</w:t>
      </w:r>
    </w:p>
    <w:p>
      <w:pPr>
        <w:pBdr>
          <w:bottom w:val="single" w:color="2E75B6" w:sz="6" w:space="1"/>
        </w:pBdr>
        <w:spacing w:after="120"/>
      </w:pPr>
      <w:r>
        <w:t xml:space="preserve"/>
      </w:r>
    </w:p>
    <w:p>
      <w:pPr>
        <w:pStyle w:val="Heading1"/>
      </w:pPr>
      <w:r>
        <w:t xml:space="preserve">2. Business Overview</w:t>
      </w:r>
    </w:p>
    <w:p>
      <w:pPr>
        <w:spacing w:after="120" w:line="276"/>
      </w:pPr>
      <w:r>
        <w:t xml:space="preserve">QXO distributes building products — roofing, waterproofing, insulation, lumber and complementary materials — to professional contractors across North America. The strategy is a classic Jacobs roll-up: acquire scaled platforms in a fragmented industry, integrate them onto a common technology and procurement backbone, and compound through both organic share gains and continued M&amp;A.</w:t>
      </w:r>
    </w:p>
    <w:p>
      <w:pPr>
        <w:pStyle w:val="ListParagraph"/>
        <w:numPr>
          <w:ilvl w:val="0"/>
          <w:numId w:val="2"/>
        </w:numPr>
        <w:spacing w:after="60" w:line="276"/>
      </w:pPr>
      <w:r>
        <w:rPr>
          <w:b/>
          <w:bCs/>
        </w:rPr>
        <w:t xml:space="preserve">Core platform — Beacon: </w:t>
      </w:r>
      <w:r>
        <w:t xml:space="preserve">The April 2025 acquisition of Beacon Roofing Supply ($124.35/share, ~$11 bn incl. debt) is the foundation: a national roofing &amp; waterproofing distribution network that instantly made QXO the largest listed building-products distributor in North America.</w:t>
      </w:r>
    </w:p>
    <w:p>
      <w:pPr>
        <w:pStyle w:val="ListParagraph"/>
        <w:numPr>
          <w:ilvl w:val="0"/>
          <w:numId w:val="2"/>
        </w:numPr>
        <w:spacing w:after="60" w:line="276"/>
      </w:pPr>
      <w:r>
        <w:rPr>
          <w:b/>
          <w:bCs/>
        </w:rPr>
        <w:t xml:space="preserve">Tech-enabled model: </w:t>
      </w:r>
      <w:r>
        <w:t xml:space="preserve">Digital sales channels, private-label products, and data/logistics tooling are positioned as the structural differentiator versus mom-and-pop and legacy distributors in an otherwise low-tech industry.</w:t>
      </w:r>
    </w:p>
    <w:p>
      <w:pPr>
        <w:pStyle w:val="ListParagraph"/>
        <w:numPr>
          <w:ilvl w:val="0"/>
          <w:numId w:val="2"/>
        </w:numPr>
        <w:spacing w:after="60" w:line="276"/>
      </w:pPr>
      <w:r>
        <w:rPr>
          <w:b/>
          <w:bCs/>
        </w:rPr>
        <w:t xml:space="preserve">The operator: </w:t>
      </w:r>
      <w:r>
        <w:t xml:space="preserve">CEO Brad Jacobs built XPO, United Rentals, United Waste and United Waste Industries through ~500 acquisitions, generating roughly 300x cumulative returns. QXO is his fifth platform; the thesis leans heavily on repeating that record.</w:t>
      </w:r>
    </w:p>
    <w:p>
      <w:pPr>
        <w:spacing w:after="120" w:line="276"/>
      </w:pPr>
      <w:r>
        <w:t xml:space="preserve">The addressable market is large and fragmented — an ~$800 billion building-products distribution industry, rising to a $300 billion-plus served market once TopBuild closes — which is precisely the terrain a disciplined consolidator is built for.</w:t>
      </w:r>
    </w:p>
    <w:p>
      <w:pPr>
        <w:pBdr>
          <w:bottom w:val="single" w:color="2E75B6" w:sz="6" w:space="1"/>
        </w:pBdr>
        <w:spacing w:after="120"/>
      </w:pPr>
      <w:r>
        <w:t xml:space="preserve"/>
      </w:r>
    </w:p>
    <w:p>
      <w:pPr>
        <w:pStyle w:val="Heading1"/>
      </w:pPr>
      <w:r>
        <w:t xml:space="preserve">3. Financial Performance</w:t>
      </w:r>
    </w:p>
    <w:p>
      <w:pPr>
        <w:pStyle w:val="Heading2"/>
      </w:pPr>
      <w:r>
        <w:t xml:space="preserve">3.1 Full-year 2025 (first year of scale)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FY2025</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Note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sales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$6.84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Beacon from 29 Apr</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Adjusted EBITDA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$647.8 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9.5% margin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Adjusted diluted EPS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$0.34</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non-GAAP</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GAAP EPS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B00020"/>
                <w:sz w:val="20"/>
                <w:szCs w:val="20"/>
              </w:rPr>
              <w:t xml:space="preserve">$(0.63)</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reported loss</w:t>
            </w:r>
          </w:p>
        </w:tc>
      </w:tr>
    </w:tbl>
    <w:p>
      <w:pPr>
        <w:spacing w:after="120" w:line="276"/>
      </w:pPr>
      <w:r>
        <w:t xml:space="preserve"/>
      </w:r>
    </w:p>
    <w:p>
      <w:pPr>
        <w:pStyle w:val="Heading2"/>
      </w:pPr>
      <w:r>
        <w:t xml:space="preserve">3.2 Q1 2026 — softness meets investment spend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Q1 2026</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Note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sales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$1.73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below expectations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Adjusted EBITDA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B00020"/>
                <w:sz w:val="20"/>
                <w:szCs w:val="20"/>
              </w:rPr>
              <w:t xml:space="preserve">$1.2 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0.1% margin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Adjusted net loss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B00020"/>
                <w:sz w:val="20"/>
                <w:szCs w:val="20"/>
              </w:rPr>
              <w:t xml:space="preserve">$(57.2) 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$(0.12)/sh</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GAAP net loss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B00020"/>
                <w:sz w:val="20"/>
                <w:szCs w:val="20"/>
              </w:rPr>
              <w:t xml:space="preserve">$(227) 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incl. deal/integration</w:t>
            </w:r>
          </w:p>
        </w:tc>
      </w:tr>
    </w:tbl>
    <w:p>
      <w:pPr>
        <w:spacing w:after="120" w:line="276"/>
      </w:pPr>
      <w:r>
        <w:t xml:space="preserve"/>
      </w:r>
    </w:p>
    <w:p>
      <w:pPr>
        <w:spacing w:after="120" w:line="276"/>
      </w:pPr>
      <w:r>
        <w:rPr>
          <w:i/>
          <w:iCs/>
        </w:rPr>
        <w:t xml:space="preserve">Brad Jacobs framed the quarter as reflecting "the softness we're seeing in the building products industry, and our investments in the business, including people and technology." Management guides to roughly $11.78 billion of revenue for full-year 2026 — the step-up driven by a full year of Beacon plus Kodiak, before any TopBuild contribution.</w:t>
      </w:r>
    </w:p>
    <w:p>
      <w:pPr>
        <w:pBdr>
          <w:bottom w:val="single" w:color="2E75B6" w:sz="6" w:space="1"/>
        </w:pBdr>
        <w:spacing w:after="120"/>
      </w:pPr>
      <w:r>
        <w:t xml:space="preserve"/>
      </w:r>
    </w:p>
    <w:p>
      <w:pPr>
        <w:pStyle w:val="Heading1"/>
      </w:pPr>
      <w:r>
        <w:t xml:space="preserve">4. The Roll-Up Engine &amp; Competitive Position</w:t>
      </w:r>
    </w:p>
    <w:p>
      <w:pPr>
        <w:spacing w:after="120" w:line="276"/>
      </w:pPr>
      <w:r>
        <w:t xml:space="preserve">QXO's edge is not a product or a patent — it is a capital-allocation and integration capability layered on top of distribution scale. That distinction matters for how durable the advantage really is.</w:t>
      </w:r>
    </w:p>
    <w:p>
      <w:pPr>
        <w:pStyle w:val="ListParagraph"/>
        <w:numPr>
          <w:ilvl w:val="0"/>
          <w:numId w:val="2"/>
        </w:numPr>
        <w:spacing w:after="60" w:line="276"/>
      </w:pPr>
      <w:r>
        <w:rPr>
          <w:b/>
          <w:bCs/>
        </w:rPr>
        <w:t xml:space="preserve">Operator pedigree: </w:t>
      </w:r>
      <w:r>
        <w:t xml:space="preserve">Jacobs' track record across four prior platforms is the single strongest asset in the thesis. Serial acquirers who can both buy well and integrate are rare; the market is effectively underwriting that skill.</w:t>
      </w:r>
    </w:p>
    <w:p>
      <w:pPr>
        <w:pStyle w:val="ListParagraph"/>
        <w:numPr>
          <w:ilvl w:val="0"/>
          <w:numId w:val="2"/>
        </w:numPr>
        <w:spacing w:after="60" w:line="276"/>
      </w:pPr>
      <w:r>
        <w:rPr>
          <w:b/>
          <w:bCs/>
        </w:rPr>
        <w:t xml:space="preserve">Scale economics: </w:t>
      </w:r>
      <w:r>
        <w:t xml:space="preserve">Greater purchasing power, branch density, and logistics leverage are genuine local advantages in distribution — the bigger network can serve contractors faster and cheaper.</w:t>
      </w:r>
    </w:p>
    <w:p>
      <w:pPr>
        <w:pStyle w:val="ListParagraph"/>
        <w:numPr>
          <w:ilvl w:val="0"/>
          <w:numId w:val="2"/>
        </w:numPr>
        <w:spacing w:after="60" w:line="276"/>
      </w:pPr>
      <w:r>
        <w:rPr>
          <w:b/>
          <w:bCs/>
        </w:rPr>
        <w:t xml:space="preserve">Technology overlay: </w:t>
      </w:r>
      <w:r>
        <w:t xml:space="preserve">Digital ordering, pricing analytics and private label are real margin levers in a laggard industry, if execution follows the promise.</w:t>
      </w:r>
    </w:p>
    <w:p>
      <w:pPr>
        <w:pStyle w:val="ListParagraph"/>
        <w:numPr>
          <w:ilvl w:val="0"/>
          <w:numId w:val="2"/>
        </w:numPr>
        <w:spacing w:after="60" w:line="276"/>
      </w:pPr>
      <w:r>
        <w:rPr>
          <w:b/>
          <w:bCs/>
        </w:rPr>
        <w:t xml:space="preserve">But — low structural barriers: </w:t>
      </w:r>
      <w:r>
        <w:t xml:space="preserve">Building-products distribution is fundamentally a fragmented, low-margin, cyclical business with modest switching costs. Scale helps, but it does not confer pricing power on the order of a franchise monopoly.</w:t>
      </w:r>
    </w:p>
    <w:p>
      <w:pPr>
        <w:shd w:fill="D9E2F3" w:val="clear"/>
        <w:spacing w:after="120" w:before="120"/>
      </w:pPr>
      <w:r>
        <w:rPr>
          <w:b/>
          <w:bCs/>
          <w:color w:val="1F3864"/>
          <w:sz w:val="28"/>
          <w:szCs w:val="28"/>
        </w:rPr>
        <w:t xml:space="preserve">Moat rating: 5 / 10</w:t>
      </w:r>
      <w:r>
        <w:rPr>
          <w:sz w:val="22"/>
          <w:szCs w:val="22"/>
        </w:rPr>
        <w:t xml:space="preserve">  — An execution-and-scale advantage led by an elite capital allocator, built in a commoditised, cyclical distribution market. The moat is being manufactured deal-by-deal rather than inherited — promising, but unproven at this scale and thinner than the valuation implies.</w:t>
      </w:r>
    </w:p>
    <w:p>
      <w:pPr>
        <w:spacing w:after="120" w:line="276"/>
      </w:pPr>
      <w:r>
        <w:t xml:space="preserve">Why a 5? The jockey and the runway justify optimism, but the underlying economics are ordinary distribution. The advantage compounds only if integration, technology and procurement synergies actually materialise across rapidly stacked acquisitions — and that is exactly what has yet to be demonstrated at QXO's new size, through a soft market.</w:t>
      </w:r>
    </w:p>
    <w:p>
      <w:pPr>
        <w:pBdr>
          <w:bottom w:val="single" w:color="2E75B6" w:sz="6" w:space="1"/>
        </w:pBdr>
        <w:spacing w:after="120"/>
      </w:pPr>
      <w:r>
        <w:t xml:space="preserve"/>
      </w:r>
    </w:p>
    <w:p>
      <w:pPr>
        <w:pStyle w:val="Heading1"/>
      </w:pPr>
      <w:r>
        <w:t xml:space="preserve">5. Growth Drivers &amp; M&amp;A Pipeline</w:t>
      </w:r>
    </w:p>
    <w:p>
      <w:pPr>
        <w:pStyle w:val="ListParagraph"/>
        <w:numPr>
          <w:ilvl w:val="0"/>
          <w:numId w:val="2"/>
        </w:numPr>
        <w:spacing w:after="60" w:line="276"/>
      </w:pPr>
      <w:r>
        <w:rPr>
          <w:b/>
          <w:bCs/>
        </w:rPr>
        <w:t xml:space="preserve">TopBuild ($17 bn, pending): </w:t>
      </w:r>
      <w:r>
        <w:t xml:space="preserve">Announced 19 Apr 2026 at $505/share (≈45% cash / 55% QXO stock); closing targeted Q3 2026. Adds the #1 insulation distributor/installer. Combined company: &gt;$18 bn revenue, &gt;$2 bn adjusted EBITDA, leadership in insulation (#1), roofing (#2) and waterproofing (#1).</w:t>
      </w:r>
    </w:p>
    <w:p>
      <w:pPr>
        <w:pStyle w:val="ListParagraph"/>
        <w:numPr>
          <w:ilvl w:val="0"/>
          <w:numId w:val="2"/>
        </w:numPr>
        <w:spacing w:after="60" w:line="276"/>
      </w:pPr>
      <w:r>
        <w:rPr>
          <w:b/>
          <w:bCs/>
        </w:rPr>
        <w:t xml:space="preserve">Deal economics: </w:t>
      </w:r>
      <w:r>
        <w:t xml:space="preserve">TopBuild priced at 14.9x 2025 adjusted EBITDA pre-synergy, 11.8x post — with ~$300 m of targeted synergies by 2030 from procurement, network/logistics optimisation, cross-selling and technology.</w:t>
      </w:r>
    </w:p>
    <w:p>
      <w:pPr>
        <w:pStyle w:val="ListParagraph"/>
        <w:numPr>
          <w:ilvl w:val="0"/>
          <w:numId w:val="2"/>
        </w:numPr>
        <w:spacing w:after="60" w:line="276"/>
      </w:pPr>
      <w:r>
        <w:rPr>
          <w:b/>
          <w:bCs/>
        </w:rPr>
        <w:t xml:space="preserve">Kodiak ($2.25 bn, closed Apr'26): </w:t>
      </w:r>
      <w:r>
        <w:t xml:space="preserve">Lumber, trusses and building materials — broadens the product set beyond roofing and adds another integration lever.</w:t>
      </w:r>
    </w:p>
    <w:p>
      <w:pPr>
        <w:pStyle w:val="ListParagraph"/>
        <w:numPr>
          <w:ilvl w:val="0"/>
          <w:numId w:val="2"/>
        </w:numPr>
        <w:spacing w:after="60" w:line="276"/>
      </w:pPr>
      <w:r>
        <w:rPr>
          <w:b/>
          <w:bCs/>
        </w:rPr>
        <w:t xml:space="preserve">Served market: </w:t>
      </w:r>
      <w:r>
        <w:t xml:space="preserve">Post-TopBuild addressable market exceeds $300 bn, within an ~$800 bn industry — ample runway for continued consolidation.</w:t>
      </w:r>
    </w:p>
    <w:p>
      <w:pPr>
        <w:pStyle w:val="ListParagraph"/>
        <w:numPr>
          <w:ilvl w:val="0"/>
          <w:numId w:val="2"/>
        </w:numPr>
        <w:spacing w:after="60" w:line="276"/>
      </w:pPr>
      <w:r>
        <w:rPr>
          <w:b/>
          <w:bCs/>
        </w:rPr>
        <w:t xml:space="preserve">The decade goal: </w:t>
      </w:r>
      <w:r>
        <w:t xml:space="preserve">Management reiterates a path to ~$50 bn of annual revenue within ten years, implying many more acquisitions on top of organic growth.</w:t>
      </w:r>
    </w:p>
    <w:p>
      <w:pPr>
        <w:pBdr>
          <w:bottom w:val="single" w:color="2E75B6" w:sz="6" w:space="1"/>
        </w:pBdr>
        <w:spacing w:after="120"/>
      </w:pPr>
      <w:r>
        <w:t xml:space="preserve"/>
      </w:r>
    </w:p>
    <w:p>
      <w:pPr>
        <w:pStyle w:val="Heading1"/>
      </w:pPr>
      <w:r>
        <w:t xml:space="preserve">6. Valuation</w:t>
      </w:r>
    </w:p>
    <w:p>
      <w:pPr>
        <w:spacing w:after="120" w:line="276"/>
      </w:pPr>
      <w:r>
        <w:t xml:space="preserve">QXO defies conventional earnings multiples — it is barely profitable today, so the market is pricing optionality on the roll-up, not current cash flows. The stock has been weak in 2026 as the building-products cycle softened and integration risk rose.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Approx.</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Comment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~$12.1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EV ~$14 bn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~$17</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off recent highs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FY26E revenue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~$11.78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pre-TopBuild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FY26E EPS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B00020"/>
                <w:sz w:val="20"/>
                <w:szCs w:val="20"/>
              </w:rPr>
              <w:t xml:space="preserve">~$(0.26)</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loss expected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n/m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not yet profitable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Consensus target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~$32.86</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implies large upside</w:t>
            </w:r>
          </w:p>
        </w:tc>
      </w:tr>
    </w:tbl>
    <w:p>
      <w:pPr>
        <w:spacing w:after="120" w:line="276"/>
      </w:pPr>
      <w:r>
        <w:t xml:space="preserve"/>
      </w:r>
    </w:p>
    <w:p>
      <w:pPr>
        <w:pStyle w:val="ListParagraph"/>
        <w:numPr>
          <w:ilvl w:val="0"/>
          <w:numId w:val="2"/>
        </w:numPr>
        <w:spacing w:after="60" w:line="276"/>
      </w:pPr>
      <w:r>
        <w:rPr>
          <w:b/>
          <w:bCs/>
        </w:rPr>
        <w:t xml:space="preserve">The bull framing: </w:t>
      </w:r>
      <w:r>
        <w:t xml:space="preserve">On a sum-of-platforms, mid-cycle EBITDA basis with synergies realised, today's ~$14 bn EV looks modest against a company targeting $50 bn of revenue. The consensus ~$33 target implies the market sees significant value if the plan delivers.</w:t>
      </w:r>
    </w:p>
    <w:p>
      <w:pPr>
        <w:pStyle w:val="ListParagraph"/>
        <w:numPr>
          <w:ilvl w:val="0"/>
          <w:numId w:val="2"/>
        </w:numPr>
        <w:spacing w:after="60" w:line="276"/>
      </w:pPr>
      <w:r>
        <w:rPr>
          <w:b/>
          <w:bCs/>
        </w:rPr>
        <w:t xml:space="preserve">The bear framing: </w:t>
      </w:r>
      <w:r>
        <w:t xml:space="preserve">You are paying a forward, faith-based multiple for a currently loss-making distributor in a cyclical trough, with heavy stock issuance diluting the per-share claim. If integration slips or the cycle stays soft, there is no earnings floor to catch the stock.</w:t>
      </w:r>
    </w:p>
    <w:p>
      <w:pPr>
        <w:pBdr>
          <w:bottom w:val="single" w:color="2E75B6" w:sz="6" w:space="1"/>
        </w:pBdr>
        <w:spacing w:after="120"/>
      </w:pPr>
      <w:r>
        <w:t xml:space="preserve"/>
      </w:r>
    </w:p>
    <w:p>
      <w:pPr>
        <w:pStyle w:val="Heading1"/>
      </w:pPr>
      <w:r>
        <w:t xml:space="preserve">7. Price Target &amp; Scenario Analysis</w:t>
      </w:r>
    </w:p>
    <w:p>
      <w:pPr>
        <w:spacing w:after="120" w:line="276"/>
      </w:pPr>
      <w:r>
        <w:t xml:space="preserve">Given negative current earnings, value hinges almost entirely on execution of the roll-up through-cycle. We frame three illustrative, probability-weighted outcomes anchored to the ~$17 spot price. These are scenario sketches, not precise forecasts.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400"/>
      </w:tblGrid>
      <w:t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Scenario</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Prob.</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Core assumption</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12–24m target</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vs spot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Bull</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Integrations + synergies deliver; cycle recovers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$35</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+106%</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Base</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40%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Steady integration; modest demand recovery</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$24</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+41%</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Bear</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Soft cycle + integration missteps + dilution</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$12</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B00020"/>
                <w:sz w:val="20"/>
                <w:szCs w:val="20"/>
              </w:rPr>
              <w:t xml:space="preserve">-29%</w:t>
            </w:r>
          </w:p>
        </w:tc>
      </w:tr>
      <w:tr>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000000"/>
                <w:sz w:val="20"/>
                <w:szCs w:val="20"/>
              </w:rPr>
              <w:t xml:space="preserve">Weighted</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000000"/>
                <w:sz w:val="20"/>
                <w:szCs w:val="20"/>
              </w:rPr>
              <w:t xml:space="preserve">100%</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000000"/>
                <w:sz w:val="20"/>
                <w:szCs w:val="20"/>
              </w:rPr>
              <w:t xml:space="preserve">Probability-weighted expected value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right"/>
            </w:pPr>
            <w:r>
              <w:rPr>
                <w:b/>
                <w:bCs/>
                <w:color w:val="000000"/>
                <w:sz w:val="20"/>
                <w:szCs w:val="20"/>
              </w:rPr>
              <w:t xml:space="preserve">$23.7</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right"/>
            </w:pPr>
            <w:r>
              <w:rPr>
                <w:b/>
                <w:bCs/>
                <w:color w:val="000000"/>
                <w:sz w:val="20"/>
                <w:szCs w:val="20"/>
              </w:rPr>
              <w:t xml:space="preserve">+39%</w:t>
            </w:r>
          </w:p>
        </w:tc>
      </w:tr>
    </w:tbl>
    <w:p>
      <w:pPr>
        <w:spacing w:after="120" w:line="276"/>
      </w:pPr>
      <w:r>
        <w:t xml:space="preserve"/>
      </w:r>
    </w:p>
    <w:p>
      <w:pPr>
        <w:spacing w:after="120" w:line="276"/>
      </w:pPr>
      <w:r>
        <w:rPr>
          <w:i/>
          <w:iCs/>
        </w:rPr>
        <w:t xml:space="preserve">The distribution is wide in both directions — characteristic of a special-situation. The probability-weighted ~+39% upside reflects a stock already marked down for risk, but the bear case is a real ~30% drawdown with no profit floor. This is convexity, not a steady compounder: position size should respect the variance.</w:t>
      </w:r>
    </w:p>
    <w:p>
      <w:pPr>
        <w:pStyle w:val="ListParagraph"/>
        <w:numPr>
          <w:ilvl w:val="0"/>
          <w:numId w:val="2"/>
        </w:numPr>
        <w:spacing w:after="60" w:line="276"/>
      </w:pPr>
      <w:r>
        <w:rPr>
          <w:b/>
          <w:bCs/>
        </w:rPr>
        <w:t xml:space="preserve">Bull triggers: </w:t>
      </w:r>
      <w:r>
        <w:t xml:space="preserve">TopBuild closes on time; visible synergy capture; building-products demand inflects upward; QXO posts clean positive adjusted EBITDA at scale.</w:t>
      </w:r>
    </w:p>
    <w:p>
      <w:pPr>
        <w:pStyle w:val="ListParagraph"/>
        <w:numPr>
          <w:ilvl w:val="0"/>
          <w:numId w:val="2"/>
        </w:numPr>
        <w:spacing w:after="60" w:line="276"/>
      </w:pPr>
      <w:r>
        <w:rPr>
          <w:b/>
          <w:bCs/>
        </w:rPr>
        <w:t xml:space="preserve">Bear triggers: </w:t>
      </w:r>
      <w:r>
        <w:t xml:space="preserve">Prolonged construction/R&amp;R softness; integration or culture stumbles; equity issuance dilutes faster than earnings build; a large deal disappoints.</w:t>
      </w:r>
    </w:p>
    <w:p>
      <w:pPr>
        <w:pBdr>
          <w:bottom w:val="single" w:color="2E75B6" w:sz="6" w:space="1"/>
        </w:pBdr>
        <w:spacing w:after="120"/>
      </w:pPr>
      <w:r>
        <w:t xml:space="preserve"/>
      </w:r>
    </w:p>
    <w:p>
      <w:pPr>
        <w:pStyle w:val="Heading1"/>
      </w:pPr>
      <w:r>
        <w:t xml:space="preserve">8. Key Risks</w:t>
      </w:r>
    </w:p>
    <w:p>
      <w:pPr>
        <w:pStyle w:val="ListParagraph"/>
        <w:numPr>
          <w:ilvl w:val="0"/>
          <w:numId w:val="2"/>
        </w:numPr>
        <w:spacing w:after="60" w:line="276"/>
      </w:pPr>
      <w:r>
        <w:rPr>
          <w:b/>
          <w:bCs/>
        </w:rPr>
        <w:t xml:space="preserve">Integration risk: </w:t>
      </w:r>
      <w:r>
        <w:t xml:space="preserve">Multiple multi-billion-dollar acquisitions are being stacked and integrated simultaneously — operationally the hardest part of any roll-up, now front-loaded.</w:t>
      </w:r>
    </w:p>
    <w:p>
      <w:pPr>
        <w:pStyle w:val="ListParagraph"/>
        <w:numPr>
          <w:ilvl w:val="0"/>
          <w:numId w:val="2"/>
        </w:numPr>
        <w:spacing w:after="60" w:line="276"/>
      </w:pPr>
      <w:r>
        <w:rPr>
          <w:b/>
          <w:bCs/>
        </w:rPr>
        <w:t xml:space="preserve">End-market cyclicality: </w:t>
      </w:r>
      <w:r>
        <w:t xml:space="preserve">Building products track construction, housing and repair-&amp;-remodel activity; the company is scaling into a soft patch, compressing margins.</w:t>
      </w:r>
    </w:p>
    <w:p>
      <w:pPr>
        <w:pStyle w:val="ListParagraph"/>
        <w:numPr>
          <w:ilvl w:val="0"/>
          <w:numId w:val="2"/>
        </w:numPr>
        <w:spacing w:after="60" w:line="276"/>
      </w:pPr>
      <w:r>
        <w:rPr>
          <w:b/>
          <w:bCs/>
        </w:rPr>
        <w:t xml:space="preserve">Dilution: </w:t>
      </w:r>
      <w:r>
        <w:t xml:space="preserve">Large deals funded substantially with QXO stock (TopBuild ~55% stock) dilute existing holders and raise the bar for per-share value creation.</w:t>
      </w:r>
    </w:p>
    <w:p>
      <w:pPr>
        <w:pStyle w:val="ListParagraph"/>
        <w:numPr>
          <w:ilvl w:val="0"/>
          <w:numId w:val="2"/>
        </w:numPr>
        <w:spacing w:after="60" w:line="276"/>
      </w:pPr>
      <w:r>
        <w:rPr>
          <w:b/>
          <w:bCs/>
        </w:rPr>
        <w:t xml:space="preserve">Profitability: </w:t>
      </w:r>
      <w:r>
        <w:t xml:space="preserve">Adjusted EBITDA was near zero in Q1 2026 and full-year losses are expected — there is currently no earnings cushion.</w:t>
      </w:r>
    </w:p>
    <w:p>
      <w:pPr>
        <w:pStyle w:val="ListParagraph"/>
        <w:numPr>
          <w:ilvl w:val="0"/>
          <w:numId w:val="2"/>
        </w:numPr>
        <w:spacing w:after="60" w:line="276"/>
      </w:pPr>
      <w:r>
        <w:rPr>
          <w:b/>
          <w:bCs/>
        </w:rPr>
        <w:t xml:space="preserve">Key-person dependence: </w:t>
      </w:r>
      <w:r>
        <w:t xml:space="preserve">The thesis rests heavily on Brad Jacobs and his ability to repeat a historic record; succession and execution concentration are real risks.</w:t>
      </w:r>
    </w:p>
    <w:p>
      <w:pPr>
        <w:pStyle w:val="ListParagraph"/>
        <w:numPr>
          <w:ilvl w:val="0"/>
          <w:numId w:val="2"/>
        </w:numPr>
        <w:spacing w:after="60" w:line="276"/>
      </w:pPr>
      <w:r>
        <w:rPr>
          <w:b/>
          <w:bCs/>
        </w:rPr>
        <w:t xml:space="preserve">Valuation / sentiment: </w:t>
      </w:r>
      <w:r>
        <w:t xml:space="preserve">A faith-based multiple is vulnerable to sharp de-rating if the cadence of deals or synergy proof points disappoints.</w:t>
      </w:r>
    </w:p>
    <w:p>
      <w:pPr>
        <w:pBdr>
          <w:bottom w:val="single" w:color="2E75B6" w:sz="6" w:space="1"/>
        </w:pBdr>
        <w:spacing w:after="120"/>
      </w:pPr>
      <w:r>
        <w:t xml:space="preserve"/>
      </w:r>
    </w:p>
    <w:p>
      <w:pPr>
        <w:pStyle w:val="Heading1"/>
      </w:pPr>
      <w:r>
        <w:t xml:space="preserve">9. Investment View</w:t>
      </w:r>
    </w:p>
    <w:p>
      <w:pPr>
        <w:spacing w:after="120" w:line="276"/>
      </w:pPr>
      <w:r>
        <w:t xml:space="preserve">QXO is one of the more interesting special-situations in the market: an A-list capital allocator, a vast fragmented industry, and a clearly articulated decade-long consolidation plan. If even a fraction of Jacobs' prior success repeats, the upside from today's marked-down price is substantial.</w:t>
      </w:r>
    </w:p>
    <w:p>
      <w:pPr>
        <w:spacing w:after="120" w:line="276"/>
      </w:pPr>
      <w:r>
        <w:t xml:space="preserve">But it is not a buy-and-forget compounder. It is a loss-making distributor, mid-build, in a cyclical trough, priced on promise. The investment question is whether you trust the operator and can stomach the variance — because the financials offer no floor and the moat is being manufactured rather than inherited.</w:t>
      </w:r>
    </w:p>
    <w:p>
      <w:pPr>
        <w:spacing w:after="120" w:line="276"/>
      </w:pPr>
      <w:r>
        <w:t xml:space="preserve">Our probability-weighted scenario work (Section 7) suggests a fair value near $24 — roughly 39% above the ~$17 spot — but with a credible ~30% downside. That is genuine convexity, appropriate for a small, deliberately-sized speculative sleeve rather than a core holding, and best added on cyclical weakness with synergy proof points as the milestones to monitor.</w:t>
      </w:r>
    </w:p>
    <w:p>
      <w:pPr>
        <w:pStyle w:val="ListParagraph"/>
        <w:numPr>
          <w:ilvl w:val="0"/>
          <w:numId w:val="2"/>
        </w:numPr>
        <w:spacing w:after="60" w:line="276"/>
      </w:pPr>
      <w:r>
        <w:rPr>
          <w:b/>
          <w:bCs/>
        </w:rPr>
        <w:t xml:space="preserve">Suitable for: </w:t>
      </w:r>
      <w:r>
        <w:t xml:space="preserve">Investors who back proven operators, can tolerate losses and high volatility, and want optionality on a long M&amp;A compounding story.</w:t>
      </w:r>
    </w:p>
    <w:p>
      <w:pPr>
        <w:pStyle w:val="ListParagraph"/>
        <w:numPr>
          <w:ilvl w:val="0"/>
          <w:numId w:val="2"/>
        </w:numPr>
        <w:spacing w:after="60" w:line="276"/>
      </w:pPr>
      <w:r>
        <w:rPr>
          <w:b/>
          <w:bCs/>
        </w:rPr>
        <w:t xml:space="preserve">Less suitable for: </w:t>
      </w:r>
      <w:r>
        <w:t xml:space="preserve">Investors needing current earnings, dividends, or a defensive, low-variance position.</w:t>
      </w:r>
    </w:p>
    <w:p>
      <w:pPr>
        <w:pStyle w:val="ListParagraph"/>
        <w:numPr>
          <w:ilvl w:val="0"/>
          <w:numId w:val="2"/>
        </w:numPr>
        <w:spacing w:after="60" w:line="276"/>
      </w:pPr>
      <w:r>
        <w:rPr>
          <w:b/>
          <w:bCs/>
        </w:rPr>
        <w:t xml:space="preserve">Watch items: </w:t>
      </w:r>
      <w:r>
        <w:t xml:space="preserve">TopBuild close and synergy capture; adjusted EBITDA turning durably positive; building-products demand trend; pace and price discipline of new deals; share count creep.</w:t>
      </w:r>
    </w:p>
    <w:p>
      <w:pPr>
        <w:spacing w:before="200"/>
      </w:pPr>
      <w:r>
        <w:rPr>
          <w:b/>
          <w:bCs/>
          <w:color w:val="595959"/>
          <w:sz w:val="20"/>
          <w:szCs w:val="20"/>
        </w:rPr>
        <w:t xml:space="preserve">Disclaimer</w:t>
      </w:r>
    </w:p>
    <w:p>
      <w:r>
        <w:rPr>
          <w:i/>
          <w:iCs/>
          <w:color w:val="595959"/>
          <w:sz w:val="18"/>
          <w:szCs w:val="18"/>
        </w:rPr>
        <w:t xml:space="preserve">This report is for informational and educational purposes only and does not constitute investment advice, a recommendation, or an offer to buy or sell any security. Figures are drawn from public sources and company disclosures as of late May 2026 and should be independently verified. Past performance is not indicative of future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IWP Portfolio Research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color w:val="595959"/>
        <w:sz w:val="16"/>
        <w:szCs w:val="16"/>
      </w:rPr>
      <w:t xml:space="preserve">QXO, Inc.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2026-06-07T11:18:46.008Z</dcterms:created>
  <dcterms:modified xsi:type="dcterms:W3CDTF">2026-06-07T11:18:46.024Z</dcterms:modified>
</cp:coreProperties>
</file>

<file path=docProps/custom.xml><?xml version="1.0" encoding="utf-8"?>
<Properties xmlns="http://schemas.openxmlformats.org/officeDocument/2006/custom-properties" xmlns:vt="http://schemas.openxmlformats.org/officeDocument/2006/docPropsVTypes"/>
</file>