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rPr>
          <w:b/>
          <w:bCs/>
          <w:color w:val="2E75B6"/>
          <w:sz w:val="28"/>
          <w:szCs w:val="28"/>
        </w:rPr>
        <w:t xml:space="preserve">EQUITY RESEARCH REPORT</w:t>
      </w:r>
    </w:p>
    <w:p>
      <w:pPr>
        <w:spacing w:after="0" w:before="200"/>
      </w:pPr>
      <w:r>
        <w:rPr>
          <w:b/>
          <w:bCs/>
          <w:color w:val="1F3864"/>
          <w:sz w:val="52"/>
          <w:szCs w:val="52"/>
        </w:rPr>
        <w:t xml:space="preserve">SK hynix Inc.</w:t>
      </w:r>
    </w:p>
    <w:p>
      <w:pPr>
        <w:spacing w:after="300" w:before="60"/>
      </w:pPr>
      <w:r>
        <w:rPr>
          <w:color w:val="595959"/>
          <w:sz w:val="22"/>
          <w:szCs w:val="22"/>
        </w:rPr>
        <w:t xml:space="preserve">KRX: 000660  ·  Semiconductors — Memory (DRAM / NAND / HBM)  ·  South Korea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Metric</w:t>
            </w:r>
          </w:p>
        </w:tc>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Value</w:t>
            </w:r>
          </w:p>
        </w:tc>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Note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Share price</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~₩1,686,000</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early May 2026</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Market cap</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~US$1.0 trillion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13th largest globally</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FY2025 revenue</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₩97.1 tn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+47% YoY</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FY2025 op. profit</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₩47.2 tn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49% margin</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Q1'26 op. margin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72%</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record; &gt;Nvidia, &gt;TSMC</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HBM share</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~57%</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Q4'25, market leader</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Net cash</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Positive</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cash &gt; total debt</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Dividend yield</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~0.3%</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₩3,000/sh annual</w:t>
            </w:r>
          </w:p>
        </w:tc>
      </w:tr>
    </w:tbl>
    <w:p>
      <w:pPr>
        <w:spacing w:before="300"/>
      </w:pPr>
      <w:r>
        <w:rPr>
          <w:i/>
          <w:iCs/>
          <w:color w:val="595959"/>
          <w:sz w:val="20"/>
          <w:szCs w:val="20"/>
        </w:rPr>
        <w:t xml:space="preserve">Prepared for: laurentbello@gmail.com  ·  IWP Portfolio Research</w:t>
      </w:r>
    </w:p>
    <w:p>
      <w:r>
        <w:rPr>
          <w:i/>
          <w:iCs/>
          <w:color w:val="595959"/>
          <w:sz w:val="18"/>
          <w:szCs w:val="18"/>
        </w:rPr>
        <w:t xml:space="preserve">Data as of late May 2026. Informational research only — not investment advice. Verify figures before acting.</w:t>
      </w:r>
    </w:p>
    <w:p>
      <w:r>
        <w:br w:type="page"/>
      </w:r>
    </w:p>
    <w:p>
      <w:pPr>
        <w:pStyle w:val="Heading1"/>
      </w:pPr>
      <w:r>
        <w:t xml:space="preserve">1. Executive Summary</w:t>
      </w:r>
    </w:p>
    <w:p>
      <w:pPr>
        <w:spacing w:after="120" w:line="276"/>
      </w:pPr>
      <w:r>
        <w:t xml:space="preserve">SK hynix has transformed from the perennial number-two memory maker into the defining winner of the AI hardware build-out. As the dominant supplier of High Bandwidth Memory (HBM) — the stacked DRAM that sits beside every leading-edge AI accelerator — the company has captured the scarcest, highest-margin component in the data-center supply chain. In 2025 it overtook Samsung in annual operating profit for the first time in its history, and in May 2026 it briefly joined the trillion-dollar market-cap club.</w:t>
      </w:r>
    </w:p>
    <w:p>
      <w:pPr>
        <w:spacing w:after="120" w:line="276"/>
      </w:pPr>
      <w:r>
        <w:rPr>
          <w:b w:val="false"/>
          <w:bCs w:val="false"/>
        </w:rPr>
        <w:t xml:space="preserve">The financial inflection has been extraordinary. FY2025 revenue reached ₩97.1 trillion (+47% YoY) with operating profit of ₩47.2 trillion (49% margin). Q1 2026 then broke every record: ₩52.6 trillion of revenue in a single quarter at a 72% operating margin — a profitability level higher than either Nvidia or TSMC reported in the same period. Management has stated that customer HBM requests already exceed planned capacity for the next three years.</w:t>
      </w:r>
    </w:p>
    <w:p>
      <w:pPr>
        <w:pStyle w:val="ListParagraph"/>
        <w:numPr>
          <w:ilvl w:val="0"/>
          <w:numId w:val="2"/>
        </w:numPr>
        <w:spacing w:after="60" w:line="276"/>
      </w:pPr>
      <w:r>
        <w:rPr>
          <w:b/>
          <w:bCs/>
        </w:rPr>
        <w:t xml:space="preserve">Bull case: </w:t>
      </w:r>
      <w:r>
        <w:t xml:space="preserve">SK hynix sits at the supply-constrained centre of the largest capex cycle in computing history, with multi-year visibility, a technology lead in HBM4, and net-cash balance sheet.</w:t>
      </w:r>
    </w:p>
    <w:p>
      <w:pPr>
        <w:pStyle w:val="ListParagraph"/>
        <w:numPr>
          <w:ilvl w:val="0"/>
          <w:numId w:val="2"/>
        </w:numPr>
        <w:spacing w:after="60" w:line="276"/>
      </w:pPr>
      <w:r>
        <w:rPr>
          <w:b/>
          <w:bCs/>
        </w:rPr>
        <w:t xml:space="preserve">Bear case: </w:t>
      </w:r>
      <w:r>
        <w:t xml:space="preserve">Memory is historically the most cyclical industry in technology. Today's record margins are a function of a supply shortage that the company itself — plus Samsung and Micron — is spending &gt;₩30 tn/year to eliminate.</w:t>
      </w:r>
    </w:p>
    <w:p>
      <w:pPr>
        <w:pStyle w:val="ListParagraph"/>
        <w:numPr>
          <w:ilvl w:val="0"/>
          <w:numId w:val="2"/>
        </w:numPr>
        <w:spacing w:after="60" w:line="276"/>
      </w:pPr>
      <w:r>
        <w:rPr>
          <w:b/>
          <w:bCs/>
        </w:rPr>
        <w:t xml:space="preserve">Our read: </w:t>
      </w:r>
      <w:r>
        <w:t xml:space="preserve">A genuinely improved, structurally advantaged franchise that nonetheless remains a cyclical commodity producer. The quality of the business has risen faster than the market sometimes credits, but so has the risk of buying at the top of a super-cycle.</w:t>
      </w:r>
    </w:p>
    <w:p>
      <w:pPr>
        <w:pBdr>
          <w:bottom w:val="single" w:color="2E75B6" w:sz="6" w:space="1"/>
        </w:pBdr>
        <w:spacing w:after="120"/>
      </w:pPr>
      <w:r>
        <w:t xml:space="preserve"/>
      </w:r>
    </w:p>
    <w:p>
      <w:pPr>
        <w:pStyle w:val="Heading1"/>
      </w:pPr>
      <w:r>
        <w:t xml:space="preserve">2. Business Overview</w:t>
      </w:r>
    </w:p>
    <w:p>
      <w:pPr>
        <w:spacing w:after="120" w:line="276"/>
      </w:pPr>
      <w:r>
        <w:t xml:space="preserve">SK hynix Inc. is the world's second-largest memory semiconductor manufacturer by volume and, since 2025, the most profitable. It designs and fabricates two core product families:</w:t>
      </w:r>
    </w:p>
    <w:p>
      <w:pPr>
        <w:pStyle w:val="ListParagraph"/>
        <w:numPr>
          <w:ilvl w:val="0"/>
          <w:numId w:val="2"/>
        </w:numPr>
        <w:spacing w:after="60" w:line="276"/>
      </w:pPr>
      <w:r>
        <w:rPr>
          <w:b/>
          <w:bCs/>
        </w:rPr>
        <w:t xml:space="preserve">DRAM: </w:t>
      </w:r>
      <w:r>
        <w:t xml:space="preserve">Volatile working memory, including standard DDR5 server/PC memory, mobile LPDDR, and — critically — HBM, the high-margin stacked DRAM used in AI GPUs and accelerators. DRAM, led by HBM, drives the bulk of profit.</w:t>
      </w:r>
    </w:p>
    <w:p>
      <w:pPr>
        <w:pStyle w:val="ListParagraph"/>
        <w:numPr>
          <w:ilvl w:val="0"/>
          <w:numId w:val="2"/>
        </w:numPr>
        <w:spacing w:after="60" w:line="276"/>
      </w:pPr>
      <w:r>
        <w:rPr>
          <w:b/>
          <w:bCs/>
        </w:rPr>
        <w:t xml:space="preserve">NAND flash: </w:t>
      </w:r>
      <w:r>
        <w:t xml:space="preserve">Non-volatile storage for SSDs and mobile devices, operated partly through the Solidigm enterprise-SSD business acquired from Intel. Enterprise SSD demand is now also benefiting from the AI storage tier.</w:t>
      </w:r>
    </w:p>
    <w:p>
      <w:pPr>
        <w:spacing w:after="120" w:line="276"/>
      </w:pPr>
      <w:r>
        <w:t xml:space="preserve">The company is majority-owned within the SK Group, one of Korea's largest conglomerates. Its strategic position is anchored by a deep qualification relationship with Nvidia, for whom it is the lead HBM supplier across the Hopper, Blackwell and now Rubin accelerator generations.</w:t>
      </w:r>
    </w:p>
    <w:p>
      <w:pPr>
        <w:pBdr>
          <w:bottom w:val="single" w:color="2E75B6" w:sz="6" w:space="1"/>
        </w:pBdr>
        <w:spacing w:after="120"/>
      </w:pPr>
      <w:r>
        <w:t xml:space="preserve"/>
      </w:r>
    </w:p>
    <w:p>
      <w:pPr>
        <w:pStyle w:val="Heading1"/>
      </w:pPr>
      <w:r>
        <w:t xml:space="preserve">3. Financial Performance</w:t>
      </w:r>
    </w:p>
    <w:p>
      <w:pPr>
        <w:pStyle w:val="Heading2"/>
      </w:pPr>
      <w:r>
        <w:t xml:space="preserve">3.1 Annual results (₩ trillion)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tblGrid>
      <w:t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Metric</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FY2024</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FY2025</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YoY</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Revenue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66.2</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97.1</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2E7D32"/>
                <w:sz w:val="20"/>
                <w:szCs w:val="20"/>
              </w:rPr>
              <w:t xml:space="preserve">+47%</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Operating profit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23.5</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47.2</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2E7D32"/>
                <w:sz w:val="20"/>
                <w:szCs w:val="20"/>
              </w:rPr>
              <w:t xml:space="preserve">+101%</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Operating margin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35%</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49%</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2E7D32"/>
                <w:sz w:val="20"/>
                <w:szCs w:val="20"/>
              </w:rPr>
              <w:t xml:space="preserve">+14pp</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Net profit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42.9</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w:t>
            </w:r>
          </w:p>
        </w:tc>
      </w:tr>
    </w:tbl>
    <w:p>
      <w:pPr>
        <w:spacing w:after="120" w:line="276"/>
      </w:pPr>
      <w:r>
        <w:t xml:space="preserve"/>
      </w:r>
    </w:p>
    <w:p>
      <w:pPr>
        <w:pStyle w:val="Heading2"/>
      </w:pPr>
      <w:r>
        <w:t xml:space="preserve">3.2 Q1 2026 — a record quarter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400"/>
      </w:tblGrid>
      <w:tr>
        <w:tc>
          <w:tcPr>
            <w:tcW w:type="dxa" w:w="3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Metric</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Q1 2026</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Change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Revenue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₩52.6 tn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2E7D32"/>
                <w:sz w:val="20"/>
                <w:szCs w:val="20"/>
              </w:rPr>
              <w:t xml:space="preserve">+60% QoQ / +198% YoY</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Operating profit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₩37.6 tn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2E7D32"/>
                <w:sz w:val="20"/>
                <w:szCs w:val="20"/>
              </w:rPr>
              <w:t xml:space="preserve">+96% QoQ</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Operating margin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72%</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2E7D32"/>
                <w:sz w:val="20"/>
                <w:szCs w:val="20"/>
              </w:rPr>
              <w:t xml:space="preserve">record high</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Net margin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77%</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2E7D32"/>
                <w:sz w:val="20"/>
                <w:szCs w:val="20"/>
              </w:rPr>
              <w:t xml:space="preserve">record high</w:t>
            </w:r>
          </w:p>
        </w:tc>
      </w:tr>
    </w:tbl>
    <w:p>
      <w:pPr>
        <w:spacing w:after="120" w:line="276"/>
      </w:pPr>
      <w:r>
        <w:t xml:space="preserve"/>
      </w:r>
    </w:p>
    <w:p>
      <w:pPr>
        <w:spacing w:after="120" w:line="276"/>
      </w:pPr>
      <w:r>
        <w:rPr>
          <w:i/>
          <w:iCs/>
        </w:rPr>
        <w:t xml:space="preserve">Q1 2026 was the first quarter SK hynix ever crossed ₩50 trillion of revenue — achieved despite Q1 normally being a seasonally weak period for memory. The 72% operating margin is a direct read on the severity of the HBM shortage: pricing power, not volume, is doing the work.</w:t>
      </w:r>
    </w:p>
    <w:p>
      <w:pPr>
        <w:pBdr>
          <w:bottom w:val="single" w:color="2E75B6" w:sz="6" w:space="1"/>
        </w:pBdr>
        <w:spacing w:after="120"/>
      </w:pPr>
      <w:r>
        <w:t xml:space="preserve"/>
      </w:r>
    </w:p>
    <w:p>
      <w:pPr>
        <w:pStyle w:val="Heading1"/>
      </w:pPr>
      <w:r>
        <w:t xml:space="preserve">4. The HBM Franchise &amp; Competitive Moat</w:t>
      </w:r>
    </w:p>
    <w:p>
      <w:pPr>
        <w:spacing w:after="120" w:line="276"/>
      </w:pPr>
      <w:r>
        <w:t xml:space="preserve">HBM is the pivot on which the entire investment case turns. It is DRAM, but assembled into vertical stacks bonded with advanced packaging (MR-MUF and, increasingly, hybrid bonding) and sold attached to AI accelerators. It carries far higher margins than commodity DRAM and is sold under multi-year, capacity-reserved agreements rather than spot pricing.</w:t>
      </w:r>
    </w:p>
    <w:p>
      <w:pPr>
        <w:pStyle w:val="ListParagraph"/>
        <w:numPr>
          <w:ilvl w:val="0"/>
          <w:numId w:val="2"/>
        </w:numPr>
        <w:spacing w:after="60" w:line="276"/>
      </w:pPr>
      <w:r>
        <w:rPr>
          <w:b/>
          <w:bCs/>
        </w:rPr>
        <w:t xml:space="preserve">Market leadership: </w:t>
      </w:r>
      <w:r>
        <w:t xml:space="preserve">SK hynix held ~57% of the HBM market in Q4 2025 and is forecast to hold ~54% of the 2026 HBM4 market (Samsung ~28%, Micron ~18%). For Nvidia's Rubin platform specifically, estimates put SK hynix's share as high as ~70%.</w:t>
      </w:r>
    </w:p>
    <w:p>
      <w:pPr>
        <w:pStyle w:val="ListParagraph"/>
        <w:numPr>
          <w:ilvl w:val="0"/>
          <w:numId w:val="2"/>
        </w:numPr>
        <w:spacing w:after="60" w:line="276"/>
      </w:pPr>
      <w:r>
        <w:rPr>
          <w:b/>
          <w:bCs/>
        </w:rPr>
        <w:t xml:space="preserve">Nvidia lock-in: </w:t>
      </w:r>
      <w:r>
        <w:t xml:space="preserve">SK hynix has secured the majority — reportedly over two-thirds — of HBM supply for Nvidia's next-generation Vera Rubin products. Each Rubin GPU requires ~288GB of HBM4, nearly triple Blackwell.</w:t>
      </w:r>
    </w:p>
    <w:p>
      <w:pPr>
        <w:pStyle w:val="ListParagraph"/>
        <w:numPr>
          <w:ilvl w:val="0"/>
          <w:numId w:val="2"/>
        </w:numPr>
        <w:spacing w:after="60" w:line="276"/>
      </w:pPr>
      <w:r>
        <w:rPr>
          <w:b/>
          <w:bCs/>
        </w:rPr>
        <w:t xml:space="preserve">Technology lead: </w:t>
      </w:r>
      <w:r>
        <w:t xml:space="preserve">First to deliver HBM4 customer samples to Nvidia. Seventh-generation HBM4E sampling is targeted for H2 2026 with mass production in 2027.</w:t>
      </w:r>
    </w:p>
    <w:p>
      <w:pPr>
        <w:pStyle w:val="ListParagraph"/>
        <w:numPr>
          <w:ilvl w:val="0"/>
          <w:numId w:val="2"/>
        </w:numPr>
        <w:spacing w:after="60" w:line="276"/>
      </w:pPr>
      <w:r>
        <w:rPr>
          <w:b/>
          <w:bCs/>
        </w:rPr>
        <w:t xml:space="preserve">Structural triopoly: </w:t>
      </w:r>
      <w:r>
        <w:t xml:space="preserve">HBM4's capital and yield complexity has priced out smaller entrants. Only SK hynix, Samsung and Micron can compete — a rational three-player oligopoly rather than the fragmented price-war structure of older memory cycles.</w:t>
      </w:r>
    </w:p>
    <w:p>
      <w:pPr>
        <w:shd w:fill="D9E2F3" w:val="clear"/>
        <w:spacing w:after="120" w:before="120"/>
      </w:pPr>
      <w:r>
        <w:rPr>
          <w:b/>
          <w:bCs/>
          <w:color w:val="1F3864"/>
          <w:sz w:val="28"/>
          <w:szCs w:val="28"/>
        </w:rPr>
        <w:t xml:space="preserve">Moat rating: 7 / 10</w:t>
      </w:r>
      <w:r>
        <w:rPr>
          <w:sz w:val="22"/>
          <w:szCs w:val="22"/>
        </w:rPr>
        <w:t xml:space="preserve">  — A real and widening moat in HBM — technology leadership, Nvidia qualification lock-in, and oligopoly structure — built on top of an inherently cyclical, commoditised memory base. Strong, but not Nvidia-grade durable.</w:t>
      </w:r>
    </w:p>
    <w:p>
      <w:pPr>
        <w:spacing w:after="120" w:line="276"/>
      </w:pPr>
      <w:r>
        <w:t xml:space="preserve">Why a 7 and not higher? The moat is genuine but it is rented against a commodity foundation. SK hynix's lead is measured in product generations and yield, not in irreproducible IP. Samsung is closing on HBM4 (1c-nm process, in-house foundry base die), and the same shortage funding SK hynix's margins is funding two well-capitalised competitors to expand. The durability of the moat depends on staying one node ahead — a recurring, capital-intensive race rather than a permanent toll booth.</w:t>
      </w:r>
    </w:p>
    <w:p>
      <w:pPr>
        <w:pBdr>
          <w:bottom w:val="single" w:color="2E75B6" w:sz="6" w:space="1"/>
        </w:pBdr>
        <w:spacing w:after="120"/>
      </w:pPr>
      <w:r>
        <w:t xml:space="preserve"/>
      </w:r>
    </w:p>
    <w:p>
      <w:pPr>
        <w:pStyle w:val="Heading1"/>
      </w:pPr>
      <w:r>
        <w:t xml:space="preserve">5. Growth Drivers &amp; Capacity</w:t>
      </w:r>
    </w:p>
    <w:p>
      <w:pPr>
        <w:pStyle w:val="ListParagraph"/>
        <w:numPr>
          <w:ilvl w:val="0"/>
          <w:numId w:val="2"/>
        </w:numPr>
        <w:spacing w:after="60" w:line="276"/>
      </w:pPr>
      <w:r>
        <w:rPr>
          <w:b/>
          <w:bCs/>
        </w:rPr>
        <w:t xml:space="preserve">Demand visibility: </w:t>
      </w:r>
      <w:r>
        <w:t xml:space="preserve">Management says HBM customer requests already exceed planned production for the next three years — unusually long visibility for a memory maker.</w:t>
      </w:r>
    </w:p>
    <w:p>
      <w:pPr>
        <w:pStyle w:val="ListParagraph"/>
        <w:numPr>
          <w:ilvl w:val="0"/>
          <w:numId w:val="2"/>
        </w:numPr>
        <w:spacing w:after="60" w:line="276"/>
      </w:pPr>
      <w:r>
        <w:rPr>
          <w:b/>
          <w:bCs/>
        </w:rPr>
        <w:t xml:space="preserve">M15X fab: </w:t>
      </w:r>
      <w:r>
        <w:t xml:space="preserve">Pulled forward ~4 months; began 1b-nm DRAM for HBM4 in early 2026, ramping toward 55,000–60,000 wafers/month by year-end.</w:t>
      </w:r>
    </w:p>
    <w:p>
      <w:pPr>
        <w:pStyle w:val="ListParagraph"/>
        <w:numPr>
          <w:ilvl w:val="0"/>
          <w:numId w:val="2"/>
        </w:numPr>
        <w:spacing w:after="60" w:line="276"/>
      </w:pPr>
      <w:r>
        <w:rPr>
          <w:b/>
          <w:bCs/>
        </w:rPr>
        <w:t xml:space="preserve">P&amp;T7 packaging: </w:t>
      </w:r>
      <w:r>
        <w:t xml:space="preserve">~US$13 bn (₩19 tn) investment in what is slated to be the world's largest dedicated HBM packaging &amp; test facility, to feed the Rubin era.</w:t>
      </w:r>
    </w:p>
    <w:p>
      <w:pPr>
        <w:pStyle w:val="ListParagraph"/>
        <w:numPr>
          <w:ilvl w:val="0"/>
          <w:numId w:val="2"/>
        </w:numPr>
        <w:spacing w:after="60" w:line="276"/>
      </w:pPr>
      <w:r>
        <w:rPr>
          <w:b/>
          <w:bCs/>
        </w:rPr>
        <w:t xml:space="preserve">Capex step-up: </w:t>
      </w:r>
      <w:r>
        <w:t xml:space="preserve">FY2025 capex in the mid-₩20 tn range; FY2026 projected above ₩30 tn (~US$21 bn). Management has pledged to roughly double wafer capacity within five years.</w:t>
      </w:r>
    </w:p>
    <w:p>
      <w:pPr>
        <w:pStyle w:val="ListParagraph"/>
        <w:numPr>
          <w:ilvl w:val="0"/>
          <w:numId w:val="2"/>
        </w:numPr>
        <w:spacing w:after="60" w:line="276"/>
      </w:pPr>
      <w:r>
        <w:rPr>
          <w:b/>
          <w:bCs/>
        </w:rPr>
        <w:t xml:space="preserve">Broadening AI pull: </w:t>
      </w:r>
      <w:r>
        <w:t xml:space="preserve">Beyond HBM, AI is now tightening conventional server DDR5 and enterprise SSD (Solidigm) markets, lifting the non-HBM book as well.</w:t>
      </w:r>
    </w:p>
    <w:p>
      <w:pPr>
        <w:pBdr>
          <w:bottom w:val="single" w:color="2E75B6" w:sz="6" w:space="1"/>
        </w:pBdr>
        <w:spacing w:after="120"/>
      </w:pPr>
      <w:r>
        <w:t xml:space="preserve"/>
      </w:r>
    </w:p>
    <w:p>
      <w:pPr>
        <w:pStyle w:val="Heading1"/>
      </w:pPr>
      <w:r>
        <w:t xml:space="preserve">6. Valuation</w:t>
      </w:r>
    </w:p>
    <w:p>
      <w:pPr>
        <w:spacing w:after="120" w:line="276"/>
      </w:pPr>
      <w:r>
        <w:t xml:space="preserve">Valuation is the crux of the debate. On trailing super-cycle earnings the stock looks inexpensive; the question is what fraction of those earnings is sustainable through-cycle.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400"/>
      </w:tblGrid>
      <w:tr>
        <w:tc>
          <w:tcPr>
            <w:tcW w:type="dxa" w:w="3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Metric</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Approx.</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Comment</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Market cap</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~US$1.0 tn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joined club May 2026</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Share price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~₩1,686,000</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early May 2026</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2026 share gain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2E7D32"/>
                <w:sz w:val="20"/>
                <w:szCs w:val="20"/>
              </w:rPr>
              <w:t xml:space="preserve">~+250% YTD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AI-driven re-rating</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Forward P/E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~7–9x</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on peak-cycle EPS</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Dividend yield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~0.3%</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₩3,000/sh, quarterly</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Balance sheet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2E7D32"/>
                <w:sz w:val="20"/>
                <w:szCs w:val="20"/>
              </w:rPr>
              <w:t xml:space="preserve">Net cash</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cash &gt; total debt; D/E ~24%</w:t>
            </w:r>
          </w:p>
        </w:tc>
      </w:tr>
    </w:tbl>
    <w:p>
      <w:pPr>
        <w:spacing w:after="120" w:line="276"/>
      </w:pPr>
      <w:r>
        <w:t xml:space="preserve"/>
      </w:r>
    </w:p>
    <w:p>
      <w:pPr>
        <w:pStyle w:val="ListParagraph"/>
        <w:numPr>
          <w:ilvl w:val="0"/>
          <w:numId w:val="2"/>
        </w:numPr>
        <w:spacing w:after="60" w:line="276"/>
      </w:pPr>
      <w:r>
        <w:rPr>
          <w:b/>
          <w:bCs/>
        </w:rPr>
        <w:t xml:space="preserve">The bull framing: </w:t>
      </w:r>
      <w:r>
        <w:t xml:space="preserve">A high-single-digit forward P/E for the structural leader of the AI memory cycle, with net cash and three years of demand visibility, is cheap if earnings hold.</w:t>
      </w:r>
    </w:p>
    <w:p>
      <w:pPr>
        <w:pStyle w:val="ListParagraph"/>
        <w:numPr>
          <w:ilvl w:val="0"/>
          <w:numId w:val="2"/>
        </w:numPr>
        <w:spacing w:after="60" w:line="276"/>
      </w:pPr>
      <w:r>
        <w:rPr>
          <w:b/>
          <w:bCs/>
        </w:rPr>
        <w:t xml:space="preserve">The bear framing: </w:t>
      </w:r>
      <w:r>
        <w:t xml:space="preserve">A ~7x multiple on peak-cycle earnings is the classic cyclical trap — low P/Es at the top, high P/Es at the bottom. After a ~250% run, the price already discounts a great deal of good news. Normalise margins toward a mid-cycle 30–40% and the multiple looks far less generous.</w:t>
      </w:r>
    </w:p>
    <w:p>
      <w:pPr>
        <w:pBdr>
          <w:bottom w:val="single" w:color="2E75B6" w:sz="6" w:space="1"/>
        </w:pBdr>
        <w:spacing w:after="120"/>
      </w:pPr>
      <w:r>
        <w:t xml:space="preserve"/>
      </w:r>
    </w:p>
    <w:p>
      <w:pPr>
        <w:pStyle w:val="Heading1"/>
      </w:pPr>
      <w:r>
        <w:t xml:space="preserve">7. Key Risks</w:t>
      </w:r>
    </w:p>
    <w:p>
      <w:pPr>
        <w:pStyle w:val="ListParagraph"/>
        <w:numPr>
          <w:ilvl w:val="0"/>
          <w:numId w:val="2"/>
        </w:numPr>
        <w:spacing w:after="60" w:line="276"/>
      </w:pPr>
      <w:r>
        <w:rPr>
          <w:b/>
          <w:bCs/>
        </w:rPr>
        <w:t xml:space="preserve">Cyclicality: </w:t>
      </w:r>
      <w:r>
        <w:t xml:space="preserve">Memory is the most cyclical major tech sub-sector. The current shortage will eventually be met by industry-wide capacity additions, and pricing can reverse sharply.</w:t>
      </w:r>
    </w:p>
    <w:p>
      <w:pPr>
        <w:pStyle w:val="ListParagraph"/>
        <w:numPr>
          <w:ilvl w:val="0"/>
          <w:numId w:val="2"/>
        </w:numPr>
        <w:spacing w:after="60" w:line="276"/>
      </w:pPr>
      <w:r>
        <w:rPr>
          <w:b/>
          <w:bCs/>
        </w:rPr>
        <w:t xml:space="preserve">Self-inflicted supply: </w:t>
      </w:r>
      <w:r>
        <w:t xml:space="preserve">SK hynix, Samsung and Micron are collectively spending tens of billions to expand HBM — the cure for the very shortage driving today's margins.</w:t>
      </w:r>
    </w:p>
    <w:p>
      <w:pPr>
        <w:pStyle w:val="ListParagraph"/>
        <w:numPr>
          <w:ilvl w:val="0"/>
          <w:numId w:val="2"/>
        </w:numPr>
        <w:spacing w:after="60" w:line="276"/>
      </w:pPr>
      <w:r>
        <w:rPr>
          <w:b/>
          <w:bCs/>
        </w:rPr>
        <w:t xml:space="preserve">Customer concentration: </w:t>
      </w:r>
      <w:r>
        <w:t xml:space="preserve">Heavy dependence on Nvidia and the AI accelerator roadmap. Any slowdown in AI capex, or an architecture that needs less memory, hits the core thesis.</w:t>
      </w:r>
    </w:p>
    <w:p>
      <w:pPr>
        <w:pStyle w:val="ListParagraph"/>
        <w:numPr>
          <w:ilvl w:val="0"/>
          <w:numId w:val="2"/>
        </w:numPr>
        <w:spacing w:after="60" w:line="276"/>
      </w:pPr>
      <w:r>
        <w:rPr>
          <w:b/>
          <w:bCs/>
        </w:rPr>
        <w:t xml:space="preserve">Competitive catch-up: </w:t>
      </w:r>
      <w:r>
        <w:t xml:space="preserve">Samsung's HBM4 (1c-nm, in-house base die) and Micron's ramp could erode SK hynix's share and pricing as qualification gaps close.</w:t>
      </w:r>
    </w:p>
    <w:p>
      <w:pPr>
        <w:pStyle w:val="ListParagraph"/>
        <w:numPr>
          <w:ilvl w:val="0"/>
          <w:numId w:val="2"/>
        </w:numPr>
        <w:spacing w:after="60" w:line="276"/>
      </w:pPr>
      <w:r>
        <w:rPr>
          <w:b/>
          <w:bCs/>
        </w:rPr>
        <w:t xml:space="preserve">Execution / yield: </w:t>
      </w:r>
      <w:r>
        <w:t xml:space="preserve">HBM4 hybrid-bonding and advanced packaging carry real yield risk at nanometre scale; stumbles would be costly given the capacity commitments.</w:t>
      </w:r>
    </w:p>
    <w:p>
      <w:pPr>
        <w:pStyle w:val="ListParagraph"/>
        <w:numPr>
          <w:ilvl w:val="0"/>
          <w:numId w:val="2"/>
        </w:numPr>
        <w:spacing w:after="60" w:line="276"/>
      </w:pPr>
      <w:r>
        <w:rPr>
          <w:b/>
          <w:bCs/>
        </w:rPr>
        <w:t xml:space="preserve">Macro &amp; geopolitical: </w:t>
      </w:r>
      <w:r>
        <w:t xml:space="preserve">Tariff barriers, export controls, rising input costs, and Korea-specific governance/FX factors all bear on the equity.</w:t>
      </w:r>
    </w:p>
    <w:p>
      <w:pPr>
        <w:pBdr>
          <w:bottom w:val="single" w:color="2E75B6" w:sz="6" w:space="1"/>
        </w:pBdr>
        <w:spacing w:after="120"/>
      </w:pPr>
      <w:r>
        <w:t xml:space="preserve"/>
      </w:r>
    </w:p>
    <w:p>
      <w:pPr>
        <w:pStyle w:val="Heading1"/>
      </w:pPr>
      <w:r>
        <w:t xml:space="preserve">8. Investment View</w:t>
      </w:r>
    </w:p>
    <w:p>
      <w:pPr>
        <w:spacing w:after="120" w:line="276"/>
      </w:pPr>
      <w:r>
        <w:t xml:space="preserve">SK hynix is the highest-quality way to own the AI memory cycle. It has earned a structural advantage in HBM, a net-cash balance sheet, and earnings power that, even haircut for cyclicality, dwarfs anything in its history. The franchise quality is real and has stepped up.</w:t>
      </w:r>
    </w:p>
    <w:p>
      <w:pPr>
        <w:spacing w:after="120" w:line="276"/>
      </w:pPr>
      <w:r>
        <w:t xml:space="preserve">But the security is still, at root, a cyclical commodity producer enjoying an exceptional — and partly self-correcting — shortage. The 72% margin is a peak signal, not a baseline. The investment decision therefore reduces to a single question: how long does the HBM shortage persist before the triopoly's combined capex closes the gap? Bulls see a multi-year structural shortage into 2030; bears see the seeds of the next down-cycle already in the ground.</w:t>
      </w:r>
    </w:p>
    <w:p>
      <w:pPr>
        <w:pStyle w:val="ListParagraph"/>
        <w:numPr>
          <w:ilvl w:val="0"/>
          <w:numId w:val="2"/>
        </w:numPr>
        <w:spacing w:after="60" w:line="276"/>
      </w:pPr>
      <w:r>
        <w:rPr>
          <w:b/>
          <w:bCs/>
        </w:rPr>
        <w:t xml:space="preserve">Suitable for: </w:t>
      </w:r>
      <w:r>
        <w:t xml:space="preserve">Investors who want concentrated, high-conviction exposure to AI infrastructure and can tolerate severe drawdowns and cyclicality.</w:t>
      </w:r>
    </w:p>
    <w:p>
      <w:pPr>
        <w:pStyle w:val="ListParagraph"/>
        <w:numPr>
          <w:ilvl w:val="0"/>
          <w:numId w:val="2"/>
        </w:numPr>
        <w:spacing w:after="60" w:line="276"/>
      </w:pPr>
      <w:r>
        <w:rPr>
          <w:b/>
          <w:bCs/>
        </w:rPr>
        <w:t xml:space="preserve">Less suitable for: </w:t>
      </w:r>
      <w:r>
        <w:t xml:space="preserve">Investors seeking stable compounding, who should weight the peak-cycle entry point and the history of memory boom-bust heavily.</w:t>
      </w:r>
    </w:p>
    <w:p>
      <w:pPr>
        <w:pStyle w:val="ListParagraph"/>
        <w:numPr>
          <w:ilvl w:val="0"/>
          <w:numId w:val="2"/>
        </w:numPr>
        <w:spacing w:after="60" w:line="276"/>
      </w:pPr>
      <w:r>
        <w:rPr>
          <w:b/>
          <w:bCs/>
        </w:rPr>
        <w:t xml:space="preserve">Watch items: </w:t>
      </w:r>
      <w:r>
        <w:t xml:space="preserve">HBM pricing trends, Samsung/Micron HBM4 qualification at Nvidia, the 2026 capex figure across all three players, and any change in Nvidia's accelerator roadmap or AI capex commentary.</w:t>
      </w:r>
    </w:p>
    <w:p>
      <w:pPr>
        <w:spacing w:before="200"/>
      </w:pPr>
      <w:r>
        <w:rPr>
          <w:b/>
          <w:bCs/>
          <w:color w:val="595959"/>
          <w:sz w:val="20"/>
          <w:szCs w:val="20"/>
        </w:rPr>
        <w:t xml:space="preserve">Disclaimer</w:t>
      </w:r>
    </w:p>
    <w:p>
      <w:r>
        <w:rPr>
          <w:i/>
          <w:iCs/>
          <w:color w:val="595959"/>
          <w:sz w:val="18"/>
          <w:szCs w:val="18"/>
        </w:rPr>
        <w:t xml:space="preserve">This report is for informational and educational purposes only and does not constitute investment advice, a recommendation, or an offer to buy or sell any security. Figures are drawn from public sources and company disclosures as of late May 2026 and should be independently verified. Past performance is not indicative of future results.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IWP Portfolio Research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color w:val="595959"/>
        <w:sz w:val="16"/>
        <w:szCs w:val="16"/>
      </w:rPr>
      <w:t xml:space="preserve">SK hynix Inc. — Equity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2026-06-05T07:05:37.434Z</dcterms:created>
  <dcterms:modified xsi:type="dcterms:W3CDTF">2026-06-05T07:05:37.434Z</dcterms:modified>
</cp:coreProperties>
</file>

<file path=docProps/custom.xml><?xml version="1.0" encoding="utf-8"?>
<Properties xmlns="http://schemas.openxmlformats.org/officeDocument/2006/custom-properties" xmlns:vt="http://schemas.openxmlformats.org/officeDocument/2006/docPropsVTypes"/>
</file>