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Sales by region</w:t>
      </w:r>
    </w:p>
    <w:p>
      <w:r>
        <w:t xml:space="preserve">The table below breaks the quarter down by region.</w:t>
      </w:r>
    </w:p>
    <w:tbl>
      <w:tr>
        <w:tc>
          <w:p>
            <w:r>
              <w:t>Region</w:t>
            </w:r>
          </w:p>
        </w:tc>
        <w:tc>
          <w:p>
            <w:r>
              <w:t>Units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1200</w:t>
            </w:r>
          </w:p>
        </w:tc>
        <w:tc>
          <w:p>
            <w:r>
              <w:t>48000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900</w:t>
            </w:r>
          </w:p>
        </w:tc>
        <w:tc>
          <w:p>
            <w:r>
              <w:t>36500</w:t>
            </w:r>
          </w:p>
        </w:tc>
      </w:tr>
    </w:tbl>
    <w:p>
      <w:r>
        <w:t xml:space="preserve">Figures are provisional until the audit closes.</w:t>
      </w:r>
    </w:p>
  </w:body>
</w:document>
</file>