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3C3489" w:val="clear"/>
            <w:tcMar>
              <w:top w:type="dxa" w:w="80"/>
              <w:left w:type="dxa" w:w="150"/>
              <w:bottom w:type="dxa" w:w="80"/>
              <w:right w:type="dxa" w:w="150"/>
            </w:tcMar>
            <w:vAlign w:val="center"/>
          </w:tcPr>
          <w:p>
            <w:pPr>
              <w:spacing w:after="10" w:before="80"/>
              <w:jc w:val="center"/>
            </w:pPr>
            <w:r>
              <w:rPr>
                <w:rFonts w:ascii="Arial" w:cs="Arial" w:eastAsia="Arial" w:hAnsi="Arial"/>
                <w:b/>
                <w:bCs/>
                <w:i w:val="false"/>
                <w:iCs w:val="false"/>
                <w:color w:val="FFFFFF"/>
                <w:sz w:val="32"/>
                <w:szCs w:val="32"/>
              </w:rPr>
              <w:t xml:space="preserve">KILIMA Holdings</w:t>
            </w:r>
          </w:p>
          <w:p>
            <w:pPr>
              <w:spacing w:after="80" w:before="0"/>
              <w:jc w:val="center"/>
            </w:pPr>
            <w:r>
              <w:rPr>
                <w:rFonts w:ascii="Arial" w:cs="Arial" w:eastAsia="Arial" w:hAnsi="Arial"/>
                <w:b w:val="false"/>
                <w:bCs w:val="false"/>
                <w:i w:val="false"/>
                <w:iCs w:val="false"/>
                <w:color w:val="CECBF6"/>
                <w:sz w:val="26"/>
                <w:szCs w:val="26"/>
              </w:rPr>
              <w:t xml:space="preserve">KAKO Logistique</w:t>
            </w:r>
          </w:p>
        </w:tc>
      </w:tr>
      <w:tr>
        <w:tc>
          <w:tcPr>
            <w:tcW w:type="dxa" w:w="9000"/>
            <w:tcBorders>
              <w:top w:val="nil" w:color="FFFFFF" w:sz="0"/>
              <w:left w:val="nil" w:color="FFFFFF" w:sz="0"/>
              <w:bottom w:val="nil" w:color="FFFFFF" w:sz="0"/>
              <w:right w:val="nil" w:color="FFFFFF" w:sz="0"/>
            </w:tcBorders>
            <w:shd w:fill="0F6E56" w:val="clear"/>
            <w:tcMar>
              <w:top w:type="dxa" w:w="80"/>
              <w:left w:type="dxa" w:w="150"/>
              <w:bottom w:type="dxa" w:w="80"/>
              <w:right w:type="dxa" w:w="150"/>
            </w:tcMar>
            <w:vAlign w:val="center"/>
          </w:tcPr>
          <w:p>
            <w:pPr>
              <w:spacing w:after="60" w:before="60"/>
              <w:jc w:val="center"/>
            </w:pPr>
            <w:r>
              <w:rPr>
                <w:rFonts w:ascii="Arial" w:cs="Arial" w:eastAsia="Arial" w:hAnsi="Arial"/>
                <w:b/>
                <w:bCs/>
                <w:i w:val="false"/>
                <w:iCs w:val="false"/>
                <w:color w:val="FFFFFF"/>
                <w:sz w:val="24"/>
                <w:szCs w:val="24"/>
              </w:rPr>
              <w:t xml:space="preserve">Manuel de Procédures Opérationnelles</w:t>
            </w:r>
          </w:p>
        </w:tc>
      </w:tr>
    </w:tbl>
    <w:p>
      <w:pPr>
        <w:spacing w:after="80" w:before="2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7F77DD" w:sz="3"/>
              <w:left w:val="single" w:color="7F77DD" w:sz="3"/>
              <w:bottom w:val="single" w:color="7F77DD" w:sz="3"/>
              <w:right w:val="single" w:color="7F77DD" w:sz="3"/>
            </w:tcBorders>
            <w:shd w:fill="3C3489"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FFFFFF"/>
                <w:sz w:val="18"/>
                <w:szCs w:val="18"/>
              </w:rPr>
              <w:t xml:space="preserve">Réf. document</w:t>
            </w:r>
          </w:p>
        </w:tc>
        <w:tc>
          <w:tcPr>
            <w:tcW w:type="dxa" w:w="6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KILIMA-PROC-KL-2025</w:t>
            </w:r>
          </w:p>
        </w:tc>
      </w:tr>
      <w:tr>
        <w:tc>
          <w:tcPr>
            <w:tcW w:type="dxa" w:w="3000"/>
            <w:tcBorders>
              <w:top w:val="single" w:color="7F77DD" w:sz="3"/>
              <w:left w:val="single" w:color="7F77DD" w:sz="3"/>
              <w:bottom w:val="single" w:color="7F77DD" w:sz="3"/>
              <w:right w:val="single" w:color="7F77DD" w:sz="3"/>
            </w:tcBorders>
            <w:shd w:fill="3C3489"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FFFFFF"/>
                <w:sz w:val="18"/>
                <w:szCs w:val="18"/>
              </w:rPr>
              <w:t xml:space="preserve">Version</w:t>
            </w:r>
          </w:p>
        </w:tc>
        <w:tc>
          <w:tcPr>
            <w:tcW w:type="dxa" w:w="6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1.0 — Juin 2025</w:t>
            </w:r>
          </w:p>
        </w:tc>
      </w:tr>
      <w:tr>
        <w:tc>
          <w:tcPr>
            <w:tcW w:type="dxa" w:w="3000"/>
            <w:tcBorders>
              <w:top w:val="single" w:color="7F77DD" w:sz="3"/>
              <w:left w:val="single" w:color="7F77DD" w:sz="3"/>
              <w:bottom w:val="single" w:color="7F77DD" w:sz="3"/>
              <w:right w:val="single" w:color="7F77DD" w:sz="3"/>
            </w:tcBorders>
            <w:shd w:fill="3C3489"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FFFFFF"/>
                <w:sz w:val="18"/>
                <w:szCs w:val="18"/>
              </w:rPr>
              <w:t xml:space="preserve">Entité</w:t>
            </w:r>
          </w:p>
        </w:tc>
        <w:tc>
          <w:tcPr>
            <w:tcW w:type="dxa" w:w="6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KAKO Logistique</w:t>
            </w:r>
          </w:p>
        </w:tc>
      </w:tr>
      <w:tr>
        <w:tc>
          <w:tcPr>
            <w:tcW w:type="dxa" w:w="3000"/>
            <w:tcBorders>
              <w:top w:val="single" w:color="7F77DD" w:sz="3"/>
              <w:left w:val="single" w:color="7F77DD" w:sz="3"/>
              <w:bottom w:val="single" w:color="7F77DD" w:sz="3"/>
              <w:right w:val="single" w:color="7F77DD" w:sz="3"/>
            </w:tcBorders>
            <w:shd w:fill="3C3489"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FFFFFF"/>
                <w:sz w:val="18"/>
                <w:szCs w:val="18"/>
              </w:rPr>
              <w:t xml:space="preserve">Nb de procédures</w:t>
            </w:r>
          </w:p>
        </w:tc>
        <w:tc>
          <w:tcPr>
            <w:tcW w:type="dxa" w:w="6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9 procédures</w:t>
            </w:r>
          </w:p>
        </w:tc>
      </w:tr>
      <w:tr>
        <w:tc>
          <w:tcPr>
            <w:tcW w:type="dxa" w:w="3000"/>
            <w:tcBorders>
              <w:top w:val="single" w:color="7F77DD" w:sz="3"/>
              <w:left w:val="single" w:color="7F77DD" w:sz="3"/>
              <w:bottom w:val="single" w:color="7F77DD" w:sz="3"/>
              <w:right w:val="single" w:color="7F77DD" w:sz="3"/>
            </w:tcBorders>
            <w:shd w:fill="3C3489"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FFFFFF"/>
                <w:sz w:val="18"/>
                <w:szCs w:val="18"/>
              </w:rPr>
              <w:t xml:space="preserve">Établi par</w:t>
            </w:r>
          </w:p>
        </w:tc>
        <w:tc>
          <w:tcPr>
            <w:tcW w:type="dxa" w:w="6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Direction Financière — KILIMA Holdings</w:t>
            </w:r>
          </w:p>
        </w:tc>
      </w:tr>
      <w:tr>
        <w:tc>
          <w:tcPr>
            <w:tcW w:type="dxa" w:w="3000"/>
            <w:tcBorders>
              <w:top w:val="single" w:color="7F77DD" w:sz="3"/>
              <w:left w:val="single" w:color="7F77DD" w:sz="3"/>
              <w:bottom w:val="single" w:color="7F77DD" w:sz="3"/>
              <w:right w:val="single" w:color="7F77DD" w:sz="3"/>
            </w:tcBorders>
            <w:shd w:fill="3C3489"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FFFFFF"/>
                <w:sz w:val="18"/>
                <w:szCs w:val="18"/>
              </w:rPr>
              <w:t xml:space="preserve">Approuvé par</w:t>
            </w:r>
          </w:p>
        </w:tc>
        <w:tc>
          <w:tcPr>
            <w:tcW w:type="dxa" w:w="6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Direction Générale</w:t>
            </w:r>
          </w:p>
        </w:tc>
      </w:tr>
      <w:tr>
        <w:tc>
          <w:tcPr>
            <w:tcW w:type="dxa" w:w="3000"/>
            <w:tcBorders>
              <w:top w:val="single" w:color="7F77DD" w:sz="3"/>
              <w:left w:val="single" w:color="7F77DD" w:sz="3"/>
              <w:bottom w:val="single" w:color="7F77DD" w:sz="3"/>
              <w:right w:val="single" w:color="7F77DD" w:sz="3"/>
            </w:tcBorders>
            <w:shd w:fill="3C3489"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FFFFFF"/>
                <w:sz w:val="18"/>
                <w:szCs w:val="18"/>
              </w:rPr>
              <w:t xml:space="preserve">Date d'effet</w:t>
            </w:r>
          </w:p>
        </w:tc>
        <w:tc>
          <w:tcPr>
            <w:tcW w:type="dxa" w:w="6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À la signature</w:t>
            </w:r>
          </w:p>
        </w:tc>
      </w:tr>
    </w:tbl>
    <w:p>
      <w:pPr>
        <w:spacing w:after="80" w:before="300"/>
        <w:jc w:val="left"/>
      </w:pPr>
      <w:r>
        <w:rPr>
          <w:rFonts w:ascii="Arial" w:cs="Arial" w:eastAsia="Arial" w:hAnsi="Arial"/>
          <w:b w:val="false"/>
          <w:bCs w:val="false"/>
          <w:i w:val="false"/>
          <w:iCs w:val="false"/>
          <w:color w:val="2C2C2A"/>
          <w:sz w:val="20"/>
          <w:szCs w:val="20"/>
        </w:rPr>
        <w:t xml:space="preserve"/>
      </w:r>
    </w:p>
    <w:p>
      <w:pPr>
        <w:spacing w:after="80" w:before="0"/>
        <w:jc w:val="center"/>
      </w:pPr>
      <w:r>
        <w:rPr>
          <w:rFonts w:ascii="Arial" w:cs="Arial" w:eastAsia="Arial" w:hAnsi="Arial"/>
          <w:b w:val="false"/>
          <w:bCs w:val="false"/>
          <w:i/>
          <w:iCs/>
          <w:color w:val="5F5E5A"/>
          <w:sz w:val="16"/>
          <w:szCs w:val="16"/>
        </w:rPr>
        <w:t xml:space="preserve">Document confidentiel — Usage interne exclusif — KILIMA Holdings</w:t>
      </w:r>
    </w:p>
    <w:p>
      <w:pPr>
        <w:spacing w:after="80" w:before="0"/>
        <w:jc w:val="left"/>
      </w:pPr>
      <w:r>
        <w:br w:type="pag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3C3489"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Sommaire des procédures</w:t>
            </w:r>
          </w:p>
        </w:tc>
      </w:tr>
    </w:tbl>
    <w:p>
      <w:pPr>
        <w:spacing w:after="80" w:before="8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5400"/>
        <w:gridCol w:w="2000"/>
      </w:tblGrid>
      <w:tr>
        <w:tc>
          <w:tcPr>
            <w:tcW w:type="dxa" w:w="1600"/>
            <w:tcBorders>
              <w:top w:val="single" w:color="5F5E5A" w:sz="4"/>
              <w:left w:val="single" w:color="5F5E5A" w:sz="4"/>
              <w:bottom w:val="single" w:color="5F5E5A" w:sz="4"/>
              <w:right w:val="single" w:color="5F5E5A" w:sz="4"/>
            </w:tcBorders>
            <w:shd w:fill="5F5E5A"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FFFFFF"/>
                <w:sz w:val="17"/>
                <w:szCs w:val="17"/>
              </w:rPr>
              <w:t xml:space="preserve">Référence</w:t>
            </w:r>
          </w:p>
        </w:tc>
        <w:tc>
          <w:tcPr>
            <w:tcW w:type="dxa" w:w="5400"/>
            <w:tcBorders>
              <w:top w:val="single" w:color="5F5E5A" w:sz="4"/>
              <w:left w:val="single" w:color="5F5E5A" w:sz="4"/>
              <w:bottom w:val="single" w:color="5F5E5A" w:sz="4"/>
              <w:right w:val="single" w:color="5F5E5A" w:sz="4"/>
            </w:tcBorders>
            <w:shd w:fill="5F5E5A" w:val="clear"/>
            <w:tcMar>
              <w:top w:type="dxa" w:w="80"/>
              <w:left w:type="dxa" w:w="150"/>
              <w:bottom w:type="dxa" w:w="80"/>
              <w:right w:type="dxa" w:w="150"/>
            </w:tcMar>
            <w:vAlign w:val="center"/>
          </w:tcPr>
          <w:p>
            <w:pPr>
              <w:spacing w:after="80" w:before="0"/>
              <w:jc w:val="left"/>
            </w:pPr>
            <w:r>
              <w:rPr>
                <w:rFonts w:ascii="Arial" w:cs="Arial" w:eastAsia="Arial" w:hAnsi="Arial"/>
                <w:b/>
                <w:bCs/>
                <w:i w:val="false"/>
                <w:iCs w:val="false"/>
                <w:color w:val="FFFFFF"/>
                <w:sz w:val="17"/>
                <w:szCs w:val="17"/>
              </w:rPr>
              <w:t xml:space="preserve">Intitulé</w:t>
            </w:r>
          </w:p>
        </w:tc>
        <w:tc>
          <w:tcPr>
            <w:tcW w:type="dxa" w:w="2000"/>
            <w:tcBorders>
              <w:top w:val="single" w:color="5F5E5A" w:sz="4"/>
              <w:left w:val="single" w:color="5F5E5A" w:sz="4"/>
              <w:bottom w:val="single" w:color="5F5E5A" w:sz="4"/>
              <w:right w:val="single" w:color="5F5E5A" w:sz="4"/>
            </w:tcBorders>
            <w:shd w:fill="5F5E5A"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FFFFFF"/>
                <w:sz w:val="17"/>
                <w:szCs w:val="17"/>
              </w:rPr>
              <w:t xml:space="preserve">Catégorie</w:t>
            </w:r>
          </w:p>
        </w:tc>
      </w:tr>
      <w:tr>
        <w:tc>
          <w:tcPr>
            <w:tcW w:type="dxa" w:w="1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0F6E56"/>
                <w:sz w:val="17"/>
                <w:szCs w:val="17"/>
              </w:rPr>
              <w:t xml:space="preserve">PROC-KL-01</w:t>
            </w:r>
          </w:p>
        </w:tc>
        <w:tc>
          <w:tcPr>
            <w:tcW w:type="dxa" w:w="54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val="false"/>
                <w:iCs w:val="false"/>
                <w:color w:val="2C2C2A"/>
                <w:sz w:val="18"/>
                <w:szCs w:val="18"/>
              </w:rPr>
              <w:t xml:space="preserve">Planification &amp; déclenchement d'une course</w:t>
            </w:r>
          </w:p>
        </w:tc>
        <w:tc>
          <w:tcPr>
            <w:tcW w:type="dxa" w:w="2000"/>
            <w:tcBorders>
              <w:top w:val="single" w:color="0F6E56" w:sz="3"/>
              <w:left w:val="single" w:color="0F6E56" w:sz="3"/>
              <w:bottom w:val="single" w:color="0F6E56" w:sz="3"/>
              <w:right w:val="single" w:color="0F6E56" w:sz="3"/>
            </w:tcBorders>
            <w:shd w:fill="E1F5EE"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0F6E56"/>
                <w:sz w:val="16"/>
                <w:szCs w:val="16"/>
              </w:rPr>
              <w:t xml:space="preserve">Transport</w:t>
            </w:r>
          </w:p>
        </w:tc>
      </w:tr>
      <w:tr>
        <w:tc>
          <w:tcPr>
            <w:tcW w:type="dxa" w:w="16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0F6E56"/>
                <w:sz w:val="17"/>
                <w:szCs w:val="17"/>
              </w:rPr>
              <w:t xml:space="preserve">PROC-KL-02</w:t>
            </w:r>
          </w:p>
        </w:tc>
        <w:tc>
          <w:tcPr>
            <w:tcW w:type="dxa" w:w="54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val="false"/>
                <w:iCs w:val="false"/>
                <w:color w:val="2C2C2A"/>
                <w:sz w:val="18"/>
                <w:szCs w:val="18"/>
              </w:rPr>
              <w:t xml:space="preserve">Avance carburant, péages &amp; frais de route</w:t>
            </w:r>
          </w:p>
        </w:tc>
        <w:tc>
          <w:tcPr>
            <w:tcW w:type="dxa" w:w="2000"/>
            <w:tcBorders>
              <w:top w:val="single" w:color="0F6E56" w:sz="3"/>
              <w:left w:val="single" w:color="0F6E56" w:sz="3"/>
              <w:bottom w:val="single" w:color="0F6E56" w:sz="3"/>
              <w:right w:val="single" w:color="0F6E56" w:sz="3"/>
            </w:tcBorders>
            <w:shd w:fill="E1F5EE"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0F6E56"/>
                <w:sz w:val="16"/>
                <w:szCs w:val="16"/>
              </w:rPr>
              <w:t xml:space="preserve">Transport</w:t>
            </w:r>
          </w:p>
        </w:tc>
      </w:tr>
      <w:tr>
        <w:tc>
          <w:tcPr>
            <w:tcW w:type="dxa" w:w="1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0F6E56"/>
                <w:sz w:val="17"/>
                <w:szCs w:val="17"/>
              </w:rPr>
              <w:t xml:space="preserve">PROC-KL-03</w:t>
            </w:r>
          </w:p>
        </w:tc>
        <w:tc>
          <w:tcPr>
            <w:tcW w:type="dxa" w:w="54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val="false"/>
                <w:iCs w:val="false"/>
                <w:color w:val="2C2C2A"/>
                <w:sz w:val="18"/>
                <w:szCs w:val="18"/>
              </w:rPr>
              <w:t xml:space="preserve">Suivi &amp; clôture de course (retour camion)</w:t>
            </w:r>
          </w:p>
        </w:tc>
        <w:tc>
          <w:tcPr>
            <w:tcW w:type="dxa" w:w="2000"/>
            <w:tcBorders>
              <w:top w:val="single" w:color="0F6E56" w:sz="3"/>
              <w:left w:val="single" w:color="0F6E56" w:sz="3"/>
              <w:bottom w:val="single" w:color="0F6E56" w:sz="3"/>
              <w:right w:val="single" w:color="0F6E56" w:sz="3"/>
            </w:tcBorders>
            <w:shd w:fill="E1F5EE"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0F6E56"/>
                <w:sz w:val="16"/>
                <w:szCs w:val="16"/>
              </w:rPr>
              <w:t xml:space="preserve">Transport</w:t>
            </w:r>
          </w:p>
        </w:tc>
      </w:tr>
      <w:tr>
        <w:tc>
          <w:tcPr>
            <w:tcW w:type="dxa" w:w="16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0F6E56"/>
                <w:sz w:val="17"/>
                <w:szCs w:val="17"/>
              </w:rPr>
              <w:t xml:space="preserve">PROC-KL-04</w:t>
            </w:r>
          </w:p>
        </w:tc>
        <w:tc>
          <w:tcPr>
            <w:tcW w:type="dxa" w:w="54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val="false"/>
                <w:iCs w:val="false"/>
                <w:color w:val="2C2C2A"/>
                <w:sz w:val="18"/>
                <w:szCs w:val="18"/>
              </w:rPr>
              <w:t xml:space="preserve">Facturation du client pour la course effectuée</w:t>
            </w:r>
          </w:p>
        </w:tc>
        <w:tc>
          <w:tcPr>
            <w:tcW w:type="dxa" w:w="2000"/>
            <w:tcBorders>
              <w:top w:val="single" w:color="0F6E56" w:sz="3"/>
              <w:left w:val="single" w:color="0F6E56" w:sz="3"/>
              <w:bottom w:val="single" w:color="0F6E56" w:sz="3"/>
              <w:right w:val="single" w:color="0F6E56" w:sz="3"/>
            </w:tcBorders>
            <w:shd w:fill="E1F5EE"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0F6E56"/>
                <w:sz w:val="16"/>
                <w:szCs w:val="16"/>
              </w:rPr>
              <w:t xml:space="preserve">Transport</w:t>
            </w:r>
          </w:p>
        </w:tc>
      </w:tr>
      <w:tr>
        <w:tc>
          <w:tcPr>
            <w:tcW w:type="dxa" w:w="1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854F0B"/>
                <w:sz w:val="17"/>
                <w:szCs w:val="17"/>
              </w:rPr>
              <w:t xml:space="preserve">PROC-KL-05</w:t>
            </w:r>
          </w:p>
        </w:tc>
        <w:tc>
          <w:tcPr>
            <w:tcW w:type="dxa" w:w="54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val="false"/>
                <w:iCs w:val="false"/>
                <w:color w:val="2C2C2A"/>
                <w:sz w:val="18"/>
                <w:szCs w:val="18"/>
              </w:rPr>
              <w:t xml:space="preserve">Entretien courant / réparation d'un camion</w:t>
            </w:r>
          </w:p>
        </w:tc>
        <w:tc>
          <w:tcPr>
            <w:tcW w:type="dxa" w:w="2000"/>
            <w:tcBorders>
              <w:top w:val="single" w:color="854F0B" w:sz="3"/>
              <w:left w:val="single" w:color="854F0B" w:sz="3"/>
              <w:bottom w:val="single" w:color="854F0B" w:sz="3"/>
              <w:right w:val="single" w:color="854F0B" w:sz="3"/>
            </w:tcBorders>
            <w:shd w:fill="FAEEDA"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854F0B"/>
                <w:sz w:val="16"/>
                <w:szCs w:val="16"/>
              </w:rPr>
              <w:t xml:space="preserve">Maintenance</w:t>
            </w:r>
          </w:p>
        </w:tc>
      </w:tr>
      <w:tr>
        <w:tc>
          <w:tcPr>
            <w:tcW w:type="dxa" w:w="16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854F0B"/>
                <w:sz w:val="17"/>
                <w:szCs w:val="17"/>
              </w:rPr>
              <w:t xml:space="preserve">PROC-KL-06</w:t>
            </w:r>
          </w:p>
        </w:tc>
        <w:tc>
          <w:tcPr>
            <w:tcW w:type="dxa" w:w="54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val="false"/>
                <w:iCs w:val="false"/>
                <w:color w:val="2C2C2A"/>
                <w:sz w:val="18"/>
                <w:szCs w:val="18"/>
              </w:rPr>
              <w:t xml:space="preserve">Immobilisation &amp; remise en service d'un camion</w:t>
            </w:r>
          </w:p>
        </w:tc>
        <w:tc>
          <w:tcPr>
            <w:tcW w:type="dxa" w:w="2000"/>
            <w:tcBorders>
              <w:top w:val="single" w:color="854F0B" w:sz="3"/>
              <w:left w:val="single" w:color="854F0B" w:sz="3"/>
              <w:bottom w:val="single" w:color="854F0B" w:sz="3"/>
              <w:right w:val="single" w:color="854F0B" w:sz="3"/>
            </w:tcBorders>
            <w:shd w:fill="FAEEDA"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854F0B"/>
                <w:sz w:val="16"/>
                <w:szCs w:val="16"/>
              </w:rPr>
              <w:t xml:space="preserve">Maintenance</w:t>
            </w:r>
          </w:p>
        </w:tc>
      </w:tr>
      <w:tr>
        <w:tc>
          <w:tcPr>
            <w:tcW w:type="dxa" w:w="1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3C3489"/>
                <w:sz w:val="17"/>
                <w:szCs w:val="17"/>
              </w:rPr>
              <w:t xml:space="preserve">PROC-KL-07</w:t>
            </w:r>
          </w:p>
        </w:tc>
        <w:tc>
          <w:tcPr>
            <w:tcW w:type="dxa" w:w="54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val="false"/>
                <w:iCs w:val="false"/>
                <w:color w:val="2C2C2A"/>
                <w:sz w:val="18"/>
                <w:szCs w:val="18"/>
              </w:rPr>
              <w:t xml:space="preserve">Justification des avances &amp; reddition de comptes</w:t>
            </w:r>
          </w:p>
        </w:tc>
        <w:tc>
          <w:tcPr>
            <w:tcW w:type="dxa" w:w="2000"/>
            <w:tcBorders>
              <w:top w:val="single" w:color="3C3489" w:sz="3"/>
              <w:left w:val="single" w:color="3C3489" w:sz="3"/>
              <w:bottom w:val="single" w:color="3C3489" w:sz="3"/>
              <w:right w:val="single" w:color="3C3489" w:sz="3"/>
            </w:tcBorders>
            <w:shd w:fill="EEEDFE"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3C3489"/>
                <w:sz w:val="16"/>
                <w:szCs w:val="16"/>
              </w:rPr>
              <w:t xml:space="preserve">Financier</w:t>
            </w:r>
          </w:p>
        </w:tc>
      </w:tr>
      <w:tr>
        <w:tc>
          <w:tcPr>
            <w:tcW w:type="dxa" w:w="16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3C3489"/>
                <w:sz w:val="17"/>
                <w:szCs w:val="17"/>
              </w:rPr>
              <w:t xml:space="preserve">PROC-KL-08</w:t>
            </w:r>
          </w:p>
        </w:tc>
        <w:tc>
          <w:tcPr>
            <w:tcW w:type="dxa" w:w="54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val="false"/>
                <w:iCs w:val="false"/>
                <w:color w:val="2C2C2A"/>
                <w:sz w:val="18"/>
                <w:szCs w:val="18"/>
              </w:rPr>
              <w:t xml:space="preserve">Suivi des créances clients</w:t>
            </w:r>
          </w:p>
        </w:tc>
        <w:tc>
          <w:tcPr>
            <w:tcW w:type="dxa" w:w="2000"/>
            <w:tcBorders>
              <w:top w:val="single" w:color="3C3489" w:sz="3"/>
              <w:left w:val="single" w:color="3C3489" w:sz="3"/>
              <w:bottom w:val="single" w:color="3C3489" w:sz="3"/>
              <w:right w:val="single" w:color="3C3489" w:sz="3"/>
            </w:tcBorders>
            <w:shd w:fill="EEEDFE"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3C3489"/>
                <w:sz w:val="16"/>
                <w:szCs w:val="16"/>
              </w:rPr>
              <w:t xml:space="preserve">Financier</w:t>
            </w:r>
          </w:p>
        </w:tc>
      </w:tr>
      <w:tr>
        <w:tc>
          <w:tcPr>
            <w:tcW w:type="dxa" w:w="1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A32D2D"/>
                <w:sz w:val="17"/>
                <w:szCs w:val="17"/>
              </w:rPr>
              <w:t xml:space="preserve">PROC-KL-09</w:t>
            </w:r>
          </w:p>
        </w:tc>
        <w:tc>
          <w:tcPr>
            <w:tcW w:type="dxa" w:w="54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val="false"/>
                <w:iCs w:val="false"/>
                <w:color w:val="2C2C2A"/>
                <w:sz w:val="18"/>
                <w:szCs w:val="18"/>
              </w:rPr>
              <w:t xml:space="preserve">Avances &amp; paiement des chauffeurs / convoyeurs</w:t>
            </w:r>
          </w:p>
        </w:tc>
        <w:tc>
          <w:tcPr>
            <w:tcW w:type="dxa" w:w="2000"/>
            <w:tcBorders>
              <w:top w:val="single" w:color="A32D2D" w:sz="3"/>
              <w:left w:val="single" w:color="A32D2D" w:sz="3"/>
              <w:bottom w:val="single" w:color="A32D2D" w:sz="3"/>
              <w:right w:val="single" w:color="A32D2D" w:sz="3"/>
            </w:tcBorders>
            <w:shd w:fill="FCEBEB"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A32D2D"/>
                <w:sz w:val="16"/>
                <w:szCs w:val="16"/>
              </w:rPr>
              <w:t xml:space="preserve">RH</w:t>
            </w:r>
          </w:p>
        </w:tc>
      </w:tr>
    </w:tbl>
    <w:p>
      <w:pPr>
        <w:spacing w:after="80" w:before="80"/>
        <w:jc w:val="left"/>
      </w:pPr>
      <w:r>
        <w:rPr>
          <w:rFonts w:ascii="Arial" w:cs="Arial" w:eastAsia="Arial" w:hAnsi="Arial"/>
          <w:b w:val="false"/>
          <w:bCs w:val="false"/>
          <w:i w:val="false"/>
          <w:iCs w:val="false"/>
          <w:color w:val="2C2C2A"/>
          <w:sz w:val="20"/>
          <w:szCs w:val="20"/>
        </w:rPr>
        <w:t xml:space="preserve"/>
      </w:r>
    </w:p>
    <w:p>
      <w:pPr>
        <w:spacing w:after="80" w:before="0"/>
        <w:jc w:val="left"/>
      </w:pPr>
      <w:r>
        <w:br w:type="pag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3C3489" w:val="clear"/>
            <w:tcMar>
              <w:top w:type="dxa" w:w="80"/>
              <w:left w:type="dxa" w:w="150"/>
              <w:bottom w:type="dxa" w:w="80"/>
              <w:right w:type="dxa" w:w="150"/>
            </w:tcMar>
            <w:vAlign w:val="center"/>
          </w:tcPr>
          <w:p>
            <w:pPr>
              <w:spacing w:after="6" w:before="40"/>
              <w:jc w:val="center"/>
            </w:pPr>
            <w:r>
              <w:rPr>
                <w:rFonts w:ascii="Arial" w:cs="Arial" w:eastAsia="Arial" w:hAnsi="Arial"/>
                <w:b w:val="false"/>
                <w:bCs w:val="false"/>
                <w:i w:val="false"/>
                <w:iCs w:val="false"/>
                <w:color w:val="CECBF6"/>
                <w:sz w:val="16"/>
                <w:szCs w:val="16"/>
              </w:rPr>
              <w:t xml:space="preserve">KAKO Logistique — Procédures Opérationnelles</w:t>
            </w:r>
          </w:p>
          <w:p>
            <w:pPr>
              <w:spacing w:after="40" w:before="0"/>
              <w:jc w:val="center"/>
            </w:pPr>
            <w:r>
              <w:rPr>
                <w:rFonts w:ascii="Arial" w:cs="Arial" w:eastAsia="Arial" w:hAnsi="Arial"/>
                <w:b/>
                <w:bCs/>
                <w:i w:val="false"/>
                <w:iCs w:val="false"/>
                <w:color w:val="FFFFFF"/>
                <w:sz w:val="24"/>
                <w:szCs w:val="24"/>
              </w:rPr>
              <w:t xml:space="preserve">PROC-KL-01 — Planification &amp; déclenchement d'une course</w:t>
            </w:r>
          </w:p>
        </w:tc>
      </w:tr>
      <w:tr>
        <w:tc>
          <w:tcPr>
            <w:tcW w:type="dxa" w:w="9000"/>
            <w:tcBorders>
              <w:top w:val="nil" w:color="FFFFFF" w:sz="0"/>
              <w:left w:val="nil" w:color="FFFFFF" w:sz="0"/>
              <w:bottom w:val="nil" w:color="FFFFFF" w:sz="0"/>
              <w:right w:val="nil" w:color="FFFFFF" w:sz="0"/>
            </w:tcBorders>
            <w:shd w:fill="0F6E56" w:val="clear"/>
            <w:tcMar>
              <w:top w:type="dxa" w:w="80"/>
              <w:left w:type="dxa" w:w="150"/>
              <w:bottom w:type="dxa" w:w="80"/>
              <w:right w:type="dxa" w:w="150"/>
            </w:tcMar>
            <w:vAlign w:val="center"/>
          </w:tcPr>
          <w:p>
            <w:pPr>
              <w:spacing w:after="50" w:before="50"/>
              <w:jc w:val="center"/>
            </w:pPr>
            <w:r>
              <w:rPr>
                <w:rFonts w:ascii="Arial" w:cs="Arial" w:eastAsia="Arial" w:hAnsi="Arial"/>
                <w:b w:val="false"/>
                <w:bCs w:val="false"/>
                <w:i w:val="false"/>
                <w:iCs w:val="false"/>
                <w:color w:val="FFFFFF"/>
                <w:sz w:val="17"/>
                <w:szCs w:val="17"/>
              </w:rPr>
              <w:t xml:space="preserve">Catégorie : Transport — Cœur de métier   |   Fréquence : Quotidien / par besoin</w:t>
            </w:r>
          </w:p>
        </w:tc>
      </w:tr>
    </w:tbl>
    <w:p>
      <w:pPr>
        <w:spacing w:after="8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3C3489"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18"/>
                <w:szCs w:val="18"/>
              </w:rPr>
              <w:t xml:space="preserve">Circuit de base — système d'avances à justifier</w:t>
            </w:r>
          </w:p>
        </w:tc>
      </w:tr>
    </w:tbl>
    <w:p>
      <w:pPr>
        <w:spacing w:after="80" w:before="4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c>
          <w:tcPr>
            <w:tcW w:type="dxa" w:w="1500"/>
            <w:tcBorders>
              <w:top w:val="single" w:color="3C3489" w:sz="3"/>
              <w:left w:val="single" w:color="3C3489" w:sz="3"/>
              <w:bottom w:val="single" w:color="3C3489" w:sz="3"/>
              <w:right w:val="single" w:color="3C3489" w:sz="3"/>
            </w:tcBorders>
            <w:shd w:fill="EEEDFE" w:val="clear"/>
            <w:tcMar>
              <w:top w:type="dxa" w:w="80"/>
              <w:left w:type="dxa" w:w="150"/>
              <w:bottom w:type="dxa" w:w="80"/>
              <w:right w:type="dxa" w:w="150"/>
            </w:tcMar>
            <w:vAlign w:val="center"/>
          </w:tcPr>
          <w:p>
            <w:pPr>
              <w:spacing w:after="50" w:before="50"/>
              <w:jc w:val="center"/>
            </w:pPr>
            <w:r>
              <w:rPr>
                <w:rFonts w:ascii="Arial" w:cs="Arial" w:eastAsia="Arial" w:hAnsi="Arial"/>
                <w:b/>
                <w:bCs/>
                <w:i w:val="false"/>
                <w:iCs w:val="false"/>
                <w:color w:val="3C3489"/>
                <w:sz w:val="16"/>
                <w:szCs w:val="16"/>
              </w:rPr>
              <w:t xml:space="preserve">Réquisition</w:t>
            </w:r>
          </w:p>
        </w:tc>
        <w:tc>
          <w:tcPr>
            <w:tcW w:type="dxa" w:w="1500"/>
            <w:tcBorders>
              <w:top w:val="single" w:color="0F6E56" w:sz="3"/>
              <w:left w:val="single" w:color="0F6E56" w:sz="3"/>
              <w:bottom w:val="single" w:color="0F6E56" w:sz="3"/>
              <w:right w:val="single" w:color="0F6E56" w:sz="3"/>
            </w:tcBorders>
            <w:shd w:fill="E1F5EE" w:val="clear"/>
            <w:tcMar>
              <w:top w:type="dxa" w:w="80"/>
              <w:left w:type="dxa" w:w="150"/>
              <w:bottom w:type="dxa" w:w="80"/>
              <w:right w:type="dxa" w:w="150"/>
            </w:tcMar>
            <w:vAlign w:val="center"/>
          </w:tcPr>
          <w:p>
            <w:pPr>
              <w:spacing w:after="50" w:before="50"/>
              <w:jc w:val="center"/>
            </w:pPr>
            <w:r>
              <w:rPr>
                <w:rFonts w:ascii="Arial" w:cs="Arial" w:eastAsia="Arial" w:hAnsi="Arial"/>
                <w:b/>
                <w:bCs/>
                <w:i w:val="false"/>
                <w:iCs w:val="false"/>
                <w:color w:val="0F6E56"/>
                <w:sz w:val="16"/>
                <w:szCs w:val="16"/>
              </w:rPr>
              <w:t xml:space="preserve">Validation DF</w:t>
            </w:r>
          </w:p>
        </w:tc>
        <w:tc>
          <w:tcPr>
            <w:tcW w:type="dxa" w:w="1500"/>
            <w:tcBorders>
              <w:top w:val="single" w:color="854F0B" w:sz="3"/>
              <w:left w:val="single" w:color="854F0B" w:sz="3"/>
              <w:bottom w:val="single" w:color="854F0B" w:sz="3"/>
              <w:right w:val="single" w:color="854F0B" w:sz="3"/>
            </w:tcBorders>
            <w:shd w:fill="FAEEDA" w:val="clear"/>
            <w:tcMar>
              <w:top w:type="dxa" w:w="80"/>
              <w:left w:type="dxa" w:w="150"/>
              <w:bottom w:type="dxa" w:w="80"/>
              <w:right w:type="dxa" w:w="150"/>
            </w:tcMar>
            <w:vAlign w:val="center"/>
          </w:tcPr>
          <w:p>
            <w:pPr>
              <w:spacing w:after="50" w:before="50"/>
              <w:jc w:val="center"/>
            </w:pPr>
            <w:r>
              <w:rPr>
                <w:rFonts w:ascii="Arial" w:cs="Arial" w:eastAsia="Arial" w:hAnsi="Arial"/>
                <w:b/>
                <w:bCs/>
                <w:i w:val="false"/>
                <w:iCs w:val="false"/>
                <w:color w:val="854F0B"/>
                <w:sz w:val="16"/>
                <w:szCs w:val="16"/>
              </w:rPr>
              <w:t xml:space="preserve">Sortie de fonds</w:t>
            </w:r>
          </w:p>
        </w:tc>
        <w:tc>
          <w:tcPr>
            <w:tcW w:type="dxa" w:w="1500"/>
            <w:tcBorders>
              <w:top w:val="single" w:color="5F5E5A" w:sz="3"/>
              <w:left w:val="single" w:color="5F5E5A" w:sz="3"/>
              <w:bottom w:val="single" w:color="5F5E5A" w:sz="3"/>
              <w:right w:val="single" w:color="5F5E5A" w:sz="3"/>
            </w:tcBorders>
            <w:shd w:fill="F1EFE8" w:val="clear"/>
            <w:tcMar>
              <w:top w:type="dxa" w:w="80"/>
              <w:left w:type="dxa" w:w="150"/>
              <w:bottom w:type="dxa" w:w="80"/>
              <w:right w:type="dxa" w:w="150"/>
            </w:tcMar>
            <w:vAlign w:val="center"/>
          </w:tcPr>
          <w:p>
            <w:pPr>
              <w:spacing w:after="50" w:before="50"/>
              <w:jc w:val="center"/>
            </w:pPr>
            <w:r>
              <w:rPr>
                <w:rFonts w:ascii="Arial" w:cs="Arial" w:eastAsia="Arial" w:hAnsi="Arial"/>
                <w:b/>
                <w:bCs/>
                <w:i w:val="false"/>
                <w:iCs w:val="false"/>
                <w:color w:val="5F5E5A"/>
                <w:sz w:val="16"/>
                <w:szCs w:val="16"/>
              </w:rPr>
              <w:t xml:space="preserve">Exécution</w:t>
            </w:r>
          </w:p>
        </w:tc>
        <w:tc>
          <w:tcPr>
            <w:tcW w:type="dxa" w:w="1500"/>
            <w:tcBorders>
              <w:top w:val="single" w:color="993C1D" w:sz="3"/>
              <w:left w:val="single" w:color="993C1D" w:sz="3"/>
              <w:bottom w:val="single" w:color="993C1D" w:sz="3"/>
              <w:right w:val="single" w:color="993C1D" w:sz="3"/>
            </w:tcBorders>
            <w:shd w:fill="FAECE7" w:val="clear"/>
            <w:tcMar>
              <w:top w:type="dxa" w:w="80"/>
              <w:left w:type="dxa" w:w="150"/>
              <w:bottom w:type="dxa" w:w="80"/>
              <w:right w:type="dxa" w:w="150"/>
            </w:tcMar>
            <w:vAlign w:val="center"/>
          </w:tcPr>
          <w:p>
            <w:pPr>
              <w:spacing w:after="50" w:before="50"/>
              <w:jc w:val="center"/>
            </w:pPr>
            <w:r>
              <w:rPr>
                <w:rFonts w:ascii="Arial" w:cs="Arial" w:eastAsia="Arial" w:hAnsi="Arial"/>
                <w:b/>
                <w:bCs/>
                <w:i w:val="false"/>
                <w:iCs w:val="false"/>
                <w:color w:val="993C1D"/>
                <w:sz w:val="16"/>
                <w:szCs w:val="16"/>
              </w:rPr>
              <w:t xml:space="preserve">Justification</w:t>
            </w:r>
          </w:p>
        </w:tc>
        <w:tc>
          <w:tcPr>
            <w:tcW w:type="dxa" w:w="1500"/>
            <w:tcBorders>
              <w:top w:val="single" w:color="3C3489" w:sz="3"/>
              <w:left w:val="single" w:color="3C3489" w:sz="3"/>
              <w:bottom w:val="single" w:color="3C3489" w:sz="3"/>
              <w:right w:val="single" w:color="3C3489" w:sz="3"/>
            </w:tcBorders>
            <w:shd w:fill="EEEDFE" w:val="clear"/>
            <w:tcMar>
              <w:top w:type="dxa" w:w="80"/>
              <w:left w:type="dxa" w:w="150"/>
              <w:bottom w:type="dxa" w:w="80"/>
              <w:right w:type="dxa" w:w="150"/>
            </w:tcMar>
            <w:vAlign w:val="center"/>
          </w:tcPr>
          <w:p>
            <w:pPr>
              <w:spacing w:after="50" w:before="50"/>
              <w:jc w:val="center"/>
            </w:pPr>
            <w:r>
              <w:rPr>
                <w:rFonts w:ascii="Arial" w:cs="Arial" w:eastAsia="Arial" w:hAnsi="Arial"/>
                <w:b/>
                <w:bCs/>
                <w:i w:val="false"/>
                <w:iCs w:val="false"/>
                <w:color w:val="3C3489"/>
                <w:sz w:val="16"/>
                <w:szCs w:val="16"/>
              </w:rPr>
              <w:t xml:space="preserve">Comptabilisation</w:t>
            </w:r>
          </w:p>
        </w:tc>
      </w:tr>
    </w:tbl>
    <w:p>
      <w:pPr>
        <w:spacing w:after="80" w:before="12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0F6E56"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1. Objet</w:t>
            </w:r>
          </w:p>
        </w:tc>
      </w:tr>
    </w:tbl>
    <w:p>
      <w:pPr>
        <w:spacing w:after="80" w:before="50"/>
        <w:jc w:val="left"/>
      </w:pPr>
      <w:r>
        <w:rPr>
          <w:rFonts w:ascii="Arial" w:cs="Arial" w:eastAsia="Arial" w:hAnsi="Arial"/>
          <w:b w:val="false"/>
          <w:bCs w:val="false"/>
          <w:i w:val="false"/>
          <w:iCs w:val="false"/>
          <w:color w:val="2C2C2A"/>
          <w:sz w:val="20"/>
          <w:szCs w:val="20"/>
        </w:rPr>
        <w:t xml:space="preserve"/>
      </w:r>
    </w:p>
    <w:p>
      <w:pPr>
        <w:spacing w:after="80" w:before="0"/>
        <w:jc w:val="left"/>
      </w:pPr>
      <w:r>
        <w:rPr>
          <w:rFonts w:ascii="Arial" w:cs="Arial" w:eastAsia="Arial" w:hAnsi="Arial"/>
          <w:b w:val="false"/>
          <w:bCs w:val="false"/>
          <w:i w:val="false"/>
          <w:iCs w:val="false"/>
          <w:color w:val="2C2C2A"/>
          <w:sz w:val="20"/>
          <w:szCs w:val="20"/>
        </w:rPr>
        <w:t xml:space="preserve">Définir les étapes permettant d'organiser et d'autoriser le départ d'un camion de la flotte KAKO Logistique pour une course de transport, depuis l'expression du besoin jusqu'à la libération effective du camion.</w:t>
      </w:r>
    </w:p>
    <w:p>
      <w:pPr>
        <w:spacing w:after="8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0F6E56"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2. Déclencheur</w:t>
            </w:r>
          </w:p>
        </w:tc>
      </w:tr>
    </w:tbl>
    <w:p>
      <w:pPr>
        <w:spacing w:after="80" w:before="50"/>
        <w:jc w:val="left"/>
      </w:pPr>
      <w:r>
        <w:rPr>
          <w:rFonts w:ascii="Arial" w:cs="Arial" w:eastAsia="Arial" w:hAnsi="Arial"/>
          <w:b w:val="false"/>
          <w:bCs w:val="false"/>
          <w:i w:val="false"/>
          <w:iCs w:val="false"/>
          <w:color w:val="2C2C2A"/>
          <w:sz w:val="20"/>
          <w:szCs w:val="20"/>
        </w:rPr>
        <w:t xml:space="preserve"/>
      </w:r>
    </w:p>
    <w:p>
      <w:pPr>
        <w:spacing w:after="80" w:before="0"/>
        <w:jc w:val="left"/>
      </w:pPr>
      <w:r>
        <w:rPr>
          <w:rFonts w:ascii="Arial" w:cs="Arial" w:eastAsia="Arial" w:hAnsi="Arial"/>
          <w:b w:val="false"/>
          <w:bCs w:val="false"/>
          <w:i w:val="false"/>
          <w:iCs w:val="false"/>
          <w:color w:val="2C2C2A"/>
          <w:sz w:val="20"/>
          <w:szCs w:val="20"/>
        </w:rPr>
        <w:t xml:space="preserve">La procédure est déclenchée par :</w:t>
      </w:r>
    </w:p>
    <w:p>
      <w:pPr>
        <w:pStyle w:val="ListParagraph"/>
        <w:numPr>
          <w:ilvl w:val="0"/>
          <w:numId w:val="2"/>
        </w:numPr>
        <w:spacing w:after="60" w:before="0"/>
        <w:jc w:val="left"/>
      </w:pPr>
      <w:r>
        <w:rPr>
          <w:rFonts w:ascii="Arial" w:cs="Arial" w:eastAsia="Arial" w:hAnsi="Arial"/>
          <w:b w:val="false"/>
          <w:bCs w:val="false"/>
          <w:i w:val="false"/>
          <w:iCs w:val="false"/>
          <w:color w:val="2C2C2A"/>
          <w:sz w:val="20"/>
          <w:szCs w:val="20"/>
        </w:rPr>
        <w:t xml:space="preserve">Une demande de transport émanant de KAKO Sarl (réapprovisionnement des points de vente Likasi ou Kolwezi en ciment ou autres marchandises).</w:t>
      </w:r>
    </w:p>
    <w:p>
      <w:pPr>
        <w:pStyle w:val="ListParagraph"/>
        <w:numPr>
          <w:ilvl w:val="0"/>
          <w:numId w:val="2"/>
        </w:numPr>
        <w:spacing w:after="60" w:before="0"/>
        <w:jc w:val="left"/>
      </w:pPr>
      <w:r>
        <w:rPr>
          <w:rFonts w:ascii="Arial" w:cs="Arial" w:eastAsia="Arial" w:hAnsi="Arial"/>
          <w:b w:val="false"/>
          <w:bCs w:val="false"/>
          <w:i w:val="false"/>
          <w:iCs w:val="false"/>
          <w:color w:val="2C2C2A"/>
          <w:sz w:val="20"/>
          <w:szCs w:val="20"/>
        </w:rPr>
        <w:t xml:space="preserve">Une demande de transport émanant d'un client externe du groupe.</w:t>
      </w:r>
    </w:p>
    <w:p>
      <w:pPr>
        <w:spacing w:after="8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0F6E56"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3. Étapes de la procédure</w:t>
            </w:r>
          </w:p>
        </w:tc>
      </w:tr>
    </w:tbl>
    <w:p>
      <w:pPr>
        <w:spacing w:after="80" w:before="5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4200"/>
        <w:gridCol w:w="2200"/>
      </w:tblGrid>
      <w:tr>
        <w:tc>
          <w:tcPr>
            <w:tcW w:type="dxa" w:w="600"/>
            <w:tcBorders>
              <w:top w:val="single" w:color="0F6E56" w:sz="4"/>
              <w:left w:val="single" w:color="0F6E56" w:sz="4"/>
              <w:bottom w:val="single" w:color="0F6E56" w:sz="4"/>
              <w:right w:val="single" w:color="0F6E56" w:sz="4"/>
            </w:tcBorders>
            <w:shd w:fill="0F6E56"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FFFFFF"/>
                <w:sz w:val="17"/>
                <w:szCs w:val="17"/>
              </w:rPr>
              <w:t xml:space="preserve">Étape</w:t>
            </w:r>
          </w:p>
        </w:tc>
        <w:tc>
          <w:tcPr>
            <w:tcW w:type="dxa" w:w="2000"/>
            <w:tcBorders>
              <w:top w:val="single" w:color="0F6E56" w:sz="4"/>
              <w:left w:val="single" w:color="0F6E56" w:sz="4"/>
              <w:bottom w:val="single" w:color="0F6E56" w:sz="4"/>
              <w:right w:val="single" w:color="0F6E56" w:sz="4"/>
            </w:tcBorders>
            <w:shd w:fill="0F6E56"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FFFFFF"/>
                <w:sz w:val="17"/>
                <w:szCs w:val="17"/>
              </w:rPr>
              <w:t xml:space="preserve">Acteur</w:t>
            </w:r>
          </w:p>
        </w:tc>
        <w:tc>
          <w:tcPr>
            <w:tcW w:type="dxa" w:w="4200"/>
            <w:tcBorders>
              <w:top w:val="single" w:color="0F6E56" w:sz="4"/>
              <w:left w:val="single" w:color="0F6E56" w:sz="4"/>
              <w:bottom w:val="single" w:color="0F6E56" w:sz="4"/>
              <w:right w:val="single" w:color="0F6E56" w:sz="4"/>
            </w:tcBorders>
            <w:shd w:fill="0F6E56" w:val="clear"/>
            <w:tcMar>
              <w:top w:type="dxa" w:w="80"/>
              <w:left w:type="dxa" w:w="150"/>
              <w:bottom w:type="dxa" w:w="80"/>
              <w:right w:type="dxa" w:w="150"/>
            </w:tcMar>
            <w:vAlign w:val="center"/>
          </w:tcPr>
          <w:p>
            <w:pPr>
              <w:spacing w:after="80" w:before="0"/>
              <w:jc w:val="left"/>
            </w:pPr>
            <w:r>
              <w:rPr>
                <w:rFonts w:ascii="Arial" w:cs="Arial" w:eastAsia="Arial" w:hAnsi="Arial"/>
                <w:b/>
                <w:bCs/>
                <w:i w:val="false"/>
                <w:iCs w:val="false"/>
                <w:color w:val="FFFFFF"/>
                <w:sz w:val="17"/>
                <w:szCs w:val="17"/>
              </w:rPr>
              <w:t xml:space="preserve">Action à réaliser</w:t>
            </w:r>
          </w:p>
        </w:tc>
        <w:tc>
          <w:tcPr>
            <w:tcW w:type="dxa" w:w="2200"/>
            <w:tcBorders>
              <w:top w:val="single" w:color="0F6E56" w:sz="4"/>
              <w:left w:val="single" w:color="0F6E56" w:sz="4"/>
              <w:bottom w:val="single" w:color="0F6E56" w:sz="4"/>
              <w:right w:val="single" w:color="0F6E56" w:sz="4"/>
            </w:tcBorders>
            <w:shd w:fill="0F6E56" w:val="clear"/>
            <w:tcMar>
              <w:top w:type="dxa" w:w="80"/>
              <w:left w:type="dxa" w:w="150"/>
              <w:bottom w:type="dxa" w:w="80"/>
              <w:right w:type="dxa" w:w="150"/>
            </w:tcMar>
            <w:vAlign w:val="center"/>
          </w:tcPr>
          <w:p>
            <w:pPr>
              <w:spacing w:after="80" w:before="0"/>
              <w:jc w:val="left"/>
            </w:pPr>
            <w:r>
              <w:rPr>
                <w:rFonts w:ascii="Arial" w:cs="Arial" w:eastAsia="Arial" w:hAnsi="Arial"/>
                <w:b/>
                <w:bCs/>
                <w:i w:val="false"/>
                <w:iCs w:val="false"/>
                <w:color w:val="FFFFFF"/>
                <w:sz w:val="17"/>
                <w:szCs w:val="17"/>
              </w:rPr>
              <w:t xml:space="preserve">Document produit / requis</w:t>
            </w:r>
          </w:p>
        </w:tc>
      </w:tr>
      <w:tr>
        <w:tc>
          <w:tcPr>
            <w:tcW w:type="dxa" w:w="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0F6E56"/>
                <w:sz w:val="18"/>
                <w:szCs w:val="18"/>
              </w:rPr>
              <w:t xml:space="preserve">1</w:t>
            </w:r>
          </w:p>
        </w:tc>
        <w:tc>
          <w:tcPr>
            <w:tcW w:type="dxa" w:w="2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Demandeur
(KAKO Sarl ou client)</w:t>
            </w:r>
          </w:p>
        </w:tc>
        <w:tc>
          <w:tcPr>
            <w:tcW w:type="dxa" w:w="4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Exprime le besoin de transport : nature de la marchandise, quantité, origine, destination, date souhaitée.</w:t>
            </w:r>
          </w:p>
        </w:tc>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Demande de transport (écrite Teams ou formulaire)</w:t>
            </w:r>
          </w:p>
        </w:tc>
      </w:tr>
      <w:tr>
        <w:tc>
          <w:tcPr>
            <w:tcW w:type="dxa" w:w="6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0F6E56"/>
                <w:sz w:val="18"/>
                <w:szCs w:val="18"/>
              </w:rPr>
              <w:t xml:space="preserve">2</w:t>
            </w:r>
          </w:p>
        </w:tc>
        <w:tc>
          <w:tcPr>
            <w:tcW w:type="dxa" w:w="20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Dispatcher / Ass. Technique</w:t>
            </w:r>
          </w:p>
        </w:tc>
        <w:tc>
          <w:tcPr>
            <w:tcW w:type="dxa" w:w="4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Reçoit la demande, vérifie la disponibilité des camions (flotte de 15 unités) et des chauffeurs. Identifie le camion et le chauffeur à affecter.</w:t>
            </w:r>
          </w:p>
        </w:tc>
        <w:tc>
          <w:tcPr>
            <w:tcW w:type="dxa" w:w="2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Tableau de disponibilité flotte</w:t>
            </w:r>
          </w:p>
        </w:tc>
      </w:tr>
      <w:tr>
        <w:tc>
          <w:tcPr>
            <w:tcW w:type="dxa" w:w="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0F6E56"/>
                <w:sz w:val="18"/>
                <w:szCs w:val="18"/>
              </w:rPr>
              <w:t xml:space="preserve">3</w:t>
            </w:r>
          </w:p>
        </w:tc>
        <w:tc>
          <w:tcPr>
            <w:tcW w:type="dxa" w:w="2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Ass. Technique</w:t>
            </w:r>
          </w:p>
        </w:tc>
        <w:tc>
          <w:tcPr>
            <w:tcW w:type="dxa" w:w="4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Prépare la Fiche Course : camion, chauffeur, trajet, marchandise, quantité, date départ prévue. Soumet pour validation au Directeur Financier.</w:t>
            </w:r>
          </w:p>
        </w:tc>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Fiche Course (modèle standard)</w:t>
            </w:r>
          </w:p>
        </w:tc>
      </w:tr>
      <w:tr>
        <w:tc>
          <w:tcPr>
            <w:tcW w:type="dxa" w:w="6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0F6E56"/>
                <w:sz w:val="18"/>
                <w:szCs w:val="18"/>
              </w:rPr>
              <w:t xml:space="preserve">4</w:t>
            </w:r>
          </w:p>
        </w:tc>
        <w:tc>
          <w:tcPr>
            <w:tcW w:type="dxa" w:w="20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Directeur Financier</w:t>
            </w:r>
          </w:p>
        </w:tc>
        <w:tc>
          <w:tcPr>
            <w:tcW w:type="dxa" w:w="4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Valide la Fiche Course. Si refus, notifie le motif à l'Ass. Technique pour correction.</w:t>
            </w:r>
          </w:p>
        </w:tc>
        <w:tc>
          <w:tcPr>
            <w:tcW w:type="dxa" w:w="2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Fiche Course visée / rejetée</w:t>
            </w:r>
          </w:p>
        </w:tc>
      </w:tr>
      <w:tr>
        <w:tc>
          <w:tcPr>
            <w:tcW w:type="dxa" w:w="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0F6E56"/>
                <w:sz w:val="18"/>
                <w:szCs w:val="18"/>
              </w:rPr>
              <w:t xml:space="preserve">5</w:t>
            </w:r>
          </w:p>
        </w:tc>
        <w:tc>
          <w:tcPr>
            <w:tcW w:type="dxa" w:w="2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Ass. Technique</w:t>
            </w:r>
          </w:p>
        </w:tc>
        <w:tc>
          <w:tcPr>
            <w:tcW w:type="dxa" w:w="4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Lance la procédure d'avance carburant &amp; frais (voir PROC-KL-02) en parallèle. Informe le chauffeur de son affectation.</w:t>
            </w:r>
          </w:p>
        </w:tc>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Voir PROC-KL-02</w:t>
            </w:r>
          </w:p>
        </w:tc>
      </w:tr>
      <w:tr>
        <w:tc>
          <w:tcPr>
            <w:tcW w:type="dxa" w:w="6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0F6E56"/>
                <w:sz w:val="18"/>
                <w:szCs w:val="18"/>
              </w:rPr>
              <w:t xml:space="preserve">6</w:t>
            </w:r>
          </w:p>
        </w:tc>
        <w:tc>
          <w:tcPr>
            <w:tcW w:type="dxa" w:w="20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Ass. Technique</w:t>
            </w:r>
          </w:p>
        </w:tc>
        <w:tc>
          <w:tcPr>
            <w:tcW w:type="dxa" w:w="4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Contrôle que le camion est chargé, que le carburant est effectivement mis et que toutes les pièces de route sont remises au chauffeur (bon de livraison, fiche course, argent péages).</w:t>
            </w:r>
          </w:p>
        </w:tc>
        <w:tc>
          <w:tcPr>
            <w:tcW w:type="dxa" w:w="2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Check-list départ camion</w:t>
            </w:r>
          </w:p>
        </w:tc>
      </w:tr>
      <w:tr>
        <w:tc>
          <w:tcPr>
            <w:tcW w:type="dxa" w:w="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0F6E56"/>
                <w:sz w:val="18"/>
                <w:szCs w:val="18"/>
              </w:rPr>
              <w:t xml:space="preserve">7</w:t>
            </w:r>
          </w:p>
        </w:tc>
        <w:tc>
          <w:tcPr>
            <w:tcW w:type="dxa" w:w="2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Ass. Technique</w:t>
            </w:r>
          </w:p>
        </w:tc>
        <w:tc>
          <w:tcPr>
            <w:tcW w:type="dxa" w:w="4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Libère officiellement le camion. Note l'heure de départ réelle sur la Fiche Course. Envoie la Fiche Course complétée au canal Teams KAKO Logistique avant 18h.</w:t>
            </w:r>
          </w:p>
        </w:tc>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Fiche Course finalisée — Teams</w:t>
            </w:r>
          </w:p>
        </w:tc>
      </w:tr>
    </w:tbl>
    <w:p>
      <w:pPr>
        <w:spacing w:after="8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5F5E5A"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4. Points de contrôle</w:t>
            </w:r>
          </w:p>
        </w:tc>
      </w:tr>
    </w:tbl>
    <w:p>
      <w:pPr>
        <w:spacing w:after="80" w:before="5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single" w:color="854F0B" w:sz="5"/>
              <w:left w:val="single" w:color="854F0B" w:sz="5"/>
              <w:bottom w:val="single" w:color="854F0B" w:sz="5"/>
              <w:right w:val="single" w:color="854F0B" w:sz="5"/>
            </w:tcBorders>
            <w:shd w:fill="FAEEDA"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854F0B"/>
                <w:sz w:val="20"/>
                <w:szCs w:val="20"/>
              </w:rPr>
              <w:t xml:space="preserve">!</w:t>
            </w:r>
          </w:p>
        </w:tc>
        <w:tc>
          <w:tcPr>
            <w:tcW w:type="dxa" w:w="8700"/>
            <w:tcBorders>
              <w:top w:val="single" w:color="854F0B" w:sz="5"/>
              <w:left w:val="nil" w:color="FFFFFF" w:sz="0"/>
              <w:bottom w:val="single" w:color="854F0B" w:sz="5"/>
              <w:right w:val="single" w:color="854F0B" w:sz="5"/>
            </w:tcBorders>
            <w:shd w:fill="FAEEDA"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iCs/>
                <w:color w:val="854F0B"/>
                <w:sz w:val="18"/>
                <w:szCs w:val="18"/>
              </w:rPr>
              <w:t xml:space="preserve">Aucun camion ne doit partir sans que la Fiche Course soit validée par le Directeur Financier et sans que l'avance carburant ait été effectivement mise (vérification physique avant libération).</w:t>
            </w:r>
          </w:p>
        </w:tc>
      </w:tr>
    </w:tbl>
    <w:p>
      <w:pPr>
        <w:spacing w:after="80" w:before="6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single" w:color="A32D2D" w:sz="5"/>
              <w:left w:val="single" w:color="A32D2D" w:sz="5"/>
              <w:bottom w:val="single" w:color="A32D2D" w:sz="5"/>
              <w:right w:val="single" w:color="A32D2D" w:sz="5"/>
            </w:tcBorders>
            <w:shd w:fill="FCEBEB"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A32D2D"/>
                <w:sz w:val="20"/>
                <w:szCs w:val="20"/>
              </w:rPr>
              <w:t xml:space="preserve">!</w:t>
            </w:r>
          </w:p>
        </w:tc>
        <w:tc>
          <w:tcPr>
            <w:tcW w:type="dxa" w:w="8700"/>
            <w:tcBorders>
              <w:top w:val="single" w:color="A32D2D" w:sz="5"/>
              <w:left w:val="nil" w:color="FFFFFF" w:sz="0"/>
              <w:bottom w:val="single" w:color="A32D2D" w:sz="5"/>
              <w:right w:val="single" w:color="A32D2D" w:sz="5"/>
            </w:tcBorders>
            <w:shd w:fill="FCEBEB"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iCs/>
                <w:color w:val="A32D2D"/>
                <w:sz w:val="18"/>
                <w:szCs w:val="18"/>
              </w:rPr>
              <w:t xml:space="preserve">Le Dispatcher est responsable de la mise à jour du tableau de disponibilité de la flotte en temps réel. Un camion en cours de réparation ne peut pas être affecté à une course.</w:t>
            </w:r>
          </w:p>
        </w:tc>
      </w:tr>
    </w:tbl>
    <w:p>
      <w:pPr>
        <w:spacing w:after="80" w:before="80"/>
        <w:jc w:val="left"/>
      </w:pPr>
      <w:r>
        <w:rPr>
          <w:rFonts w:ascii="Arial" w:cs="Arial" w:eastAsia="Arial" w:hAnsi="Arial"/>
          <w:b w:val="false"/>
          <w:bCs w:val="false"/>
          <w:i w:val="false"/>
          <w:iCs w:val="false"/>
          <w:color w:val="2C2C2A"/>
          <w:sz w:val="20"/>
          <w:szCs w:val="20"/>
        </w:rPr>
        <w:t xml:space="preserve"/>
      </w:r>
    </w:p>
    <w:p>
      <w:pPr>
        <w:pBdr>
          <w:bottom w:val="single" w:color="D3D1C7" w:sz="6" w:space="1"/>
        </w:pBdr>
        <w:spacing w:after="40" w:before="40"/>
        <w:jc w:val="left"/>
      </w:pPr>
      <w:r>
        <w:rPr>
          <w:rFonts w:ascii="Arial" w:cs="Arial" w:eastAsia="Arial" w:hAnsi="Arial"/>
          <w:b w:val="false"/>
          <w:bCs w:val="false"/>
          <w:i w:val="false"/>
          <w:iCs w:val="false"/>
          <w:color w:val="2C2C2A"/>
          <w:sz w:val="20"/>
          <w:szCs w:val="20"/>
        </w:rPr>
        <w:t xml:space="preserve"/>
      </w:r>
    </w:p>
    <w:p>
      <w:pPr>
        <w:spacing w:after="80" w:before="0"/>
        <w:jc w:val="center"/>
      </w:pPr>
      <w:r>
        <w:rPr>
          <w:rFonts w:ascii="Arial" w:cs="Arial" w:eastAsia="Arial" w:hAnsi="Arial"/>
          <w:b w:val="false"/>
          <w:bCs w:val="false"/>
          <w:i/>
          <w:iCs/>
          <w:color w:val="5F5E5A"/>
          <w:sz w:val="15"/>
          <w:szCs w:val="15"/>
        </w:rPr>
        <w:t xml:space="preserve">PROC-KL-01   |   KAKO Logistique — Procédures Opérationnelles   |   Document interne confidentiel</w:t>
      </w:r>
    </w:p>
    <w:p>
      <w:pPr>
        <w:spacing w:after="80" w:before="0"/>
        <w:jc w:val="left"/>
      </w:pPr>
      <w:r>
        <w:br w:type="pag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3C3489" w:val="clear"/>
            <w:tcMar>
              <w:top w:type="dxa" w:w="80"/>
              <w:left w:type="dxa" w:w="150"/>
              <w:bottom w:type="dxa" w:w="80"/>
              <w:right w:type="dxa" w:w="150"/>
            </w:tcMar>
            <w:vAlign w:val="center"/>
          </w:tcPr>
          <w:p>
            <w:pPr>
              <w:spacing w:after="6" w:before="40"/>
              <w:jc w:val="center"/>
            </w:pPr>
            <w:r>
              <w:rPr>
                <w:rFonts w:ascii="Arial" w:cs="Arial" w:eastAsia="Arial" w:hAnsi="Arial"/>
                <w:b w:val="false"/>
                <w:bCs w:val="false"/>
                <w:i w:val="false"/>
                <w:iCs w:val="false"/>
                <w:color w:val="CECBF6"/>
                <w:sz w:val="16"/>
                <w:szCs w:val="16"/>
              </w:rPr>
              <w:t xml:space="preserve">KAKO Logistique — Procédures Opérationnelles</w:t>
            </w:r>
          </w:p>
          <w:p>
            <w:pPr>
              <w:spacing w:after="40" w:before="0"/>
              <w:jc w:val="center"/>
            </w:pPr>
            <w:r>
              <w:rPr>
                <w:rFonts w:ascii="Arial" w:cs="Arial" w:eastAsia="Arial" w:hAnsi="Arial"/>
                <w:b/>
                <w:bCs/>
                <w:i w:val="false"/>
                <w:iCs w:val="false"/>
                <w:color w:val="FFFFFF"/>
                <w:sz w:val="24"/>
                <w:szCs w:val="24"/>
              </w:rPr>
              <w:t xml:space="preserve">PROC-KL-02 — Avance carburant, péages &amp; frais de route</w:t>
            </w:r>
          </w:p>
        </w:tc>
      </w:tr>
      <w:tr>
        <w:tc>
          <w:tcPr>
            <w:tcW w:type="dxa" w:w="9000"/>
            <w:tcBorders>
              <w:top w:val="nil" w:color="FFFFFF" w:sz="0"/>
              <w:left w:val="nil" w:color="FFFFFF" w:sz="0"/>
              <w:bottom w:val="nil" w:color="FFFFFF" w:sz="0"/>
              <w:right w:val="nil" w:color="FFFFFF" w:sz="0"/>
            </w:tcBorders>
            <w:shd w:fill="0F6E56" w:val="clear"/>
            <w:tcMar>
              <w:top w:type="dxa" w:w="80"/>
              <w:left w:type="dxa" w:w="150"/>
              <w:bottom w:type="dxa" w:w="80"/>
              <w:right w:type="dxa" w:w="150"/>
            </w:tcMar>
            <w:vAlign w:val="center"/>
          </w:tcPr>
          <w:p>
            <w:pPr>
              <w:spacing w:after="50" w:before="50"/>
              <w:jc w:val="center"/>
            </w:pPr>
            <w:r>
              <w:rPr>
                <w:rFonts w:ascii="Arial" w:cs="Arial" w:eastAsia="Arial" w:hAnsi="Arial"/>
                <w:b w:val="false"/>
                <w:bCs w:val="false"/>
                <w:i w:val="false"/>
                <w:iCs w:val="false"/>
                <w:color w:val="FFFFFF"/>
                <w:sz w:val="17"/>
                <w:szCs w:val="17"/>
              </w:rPr>
              <w:t xml:space="preserve">Catégorie : Transport — Gestion des fonds   |   Fréquence : Par course</w:t>
            </w:r>
          </w:p>
        </w:tc>
      </w:tr>
    </w:tbl>
    <w:p>
      <w:pPr>
        <w:spacing w:after="8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3C3489"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18"/>
                <w:szCs w:val="18"/>
              </w:rPr>
              <w:t xml:space="preserve">Circuit de base — système d'avances à justifier</w:t>
            </w:r>
          </w:p>
        </w:tc>
      </w:tr>
    </w:tbl>
    <w:p>
      <w:pPr>
        <w:spacing w:after="80" w:before="4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c>
          <w:tcPr>
            <w:tcW w:type="dxa" w:w="1500"/>
            <w:tcBorders>
              <w:top w:val="single" w:color="3C3489" w:sz="3"/>
              <w:left w:val="single" w:color="3C3489" w:sz="3"/>
              <w:bottom w:val="single" w:color="3C3489" w:sz="3"/>
              <w:right w:val="single" w:color="3C3489" w:sz="3"/>
            </w:tcBorders>
            <w:shd w:fill="EEEDFE" w:val="clear"/>
            <w:tcMar>
              <w:top w:type="dxa" w:w="80"/>
              <w:left w:type="dxa" w:w="150"/>
              <w:bottom w:type="dxa" w:w="80"/>
              <w:right w:type="dxa" w:w="150"/>
            </w:tcMar>
            <w:vAlign w:val="center"/>
          </w:tcPr>
          <w:p>
            <w:pPr>
              <w:spacing w:after="50" w:before="50"/>
              <w:jc w:val="center"/>
            </w:pPr>
            <w:r>
              <w:rPr>
                <w:rFonts w:ascii="Arial" w:cs="Arial" w:eastAsia="Arial" w:hAnsi="Arial"/>
                <w:b/>
                <w:bCs/>
                <w:i w:val="false"/>
                <w:iCs w:val="false"/>
                <w:color w:val="3C3489"/>
                <w:sz w:val="16"/>
                <w:szCs w:val="16"/>
              </w:rPr>
              <w:t xml:space="preserve">Réquisition</w:t>
            </w:r>
          </w:p>
        </w:tc>
        <w:tc>
          <w:tcPr>
            <w:tcW w:type="dxa" w:w="1500"/>
            <w:tcBorders>
              <w:top w:val="single" w:color="0F6E56" w:sz="3"/>
              <w:left w:val="single" w:color="0F6E56" w:sz="3"/>
              <w:bottom w:val="single" w:color="0F6E56" w:sz="3"/>
              <w:right w:val="single" w:color="0F6E56" w:sz="3"/>
            </w:tcBorders>
            <w:shd w:fill="E1F5EE" w:val="clear"/>
            <w:tcMar>
              <w:top w:type="dxa" w:w="80"/>
              <w:left w:type="dxa" w:w="150"/>
              <w:bottom w:type="dxa" w:w="80"/>
              <w:right w:type="dxa" w:w="150"/>
            </w:tcMar>
            <w:vAlign w:val="center"/>
          </w:tcPr>
          <w:p>
            <w:pPr>
              <w:spacing w:after="50" w:before="50"/>
              <w:jc w:val="center"/>
            </w:pPr>
            <w:r>
              <w:rPr>
                <w:rFonts w:ascii="Arial" w:cs="Arial" w:eastAsia="Arial" w:hAnsi="Arial"/>
                <w:b/>
                <w:bCs/>
                <w:i w:val="false"/>
                <w:iCs w:val="false"/>
                <w:color w:val="0F6E56"/>
                <w:sz w:val="16"/>
                <w:szCs w:val="16"/>
              </w:rPr>
              <w:t xml:space="preserve">Validation DF</w:t>
            </w:r>
          </w:p>
        </w:tc>
        <w:tc>
          <w:tcPr>
            <w:tcW w:type="dxa" w:w="1500"/>
            <w:tcBorders>
              <w:top w:val="single" w:color="854F0B" w:sz="3"/>
              <w:left w:val="single" w:color="854F0B" w:sz="3"/>
              <w:bottom w:val="single" w:color="854F0B" w:sz="3"/>
              <w:right w:val="single" w:color="854F0B" w:sz="3"/>
            </w:tcBorders>
            <w:shd w:fill="FAEEDA" w:val="clear"/>
            <w:tcMar>
              <w:top w:type="dxa" w:w="80"/>
              <w:left w:type="dxa" w:w="150"/>
              <w:bottom w:type="dxa" w:w="80"/>
              <w:right w:type="dxa" w:w="150"/>
            </w:tcMar>
            <w:vAlign w:val="center"/>
          </w:tcPr>
          <w:p>
            <w:pPr>
              <w:spacing w:after="50" w:before="50"/>
              <w:jc w:val="center"/>
            </w:pPr>
            <w:r>
              <w:rPr>
                <w:rFonts w:ascii="Arial" w:cs="Arial" w:eastAsia="Arial" w:hAnsi="Arial"/>
                <w:b/>
                <w:bCs/>
                <w:i w:val="false"/>
                <w:iCs w:val="false"/>
                <w:color w:val="854F0B"/>
                <w:sz w:val="16"/>
                <w:szCs w:val="16"/>
              </w:rPr>
              <w:t xml:space="preserve">Sortie de fonds</w:t>
            </w:r>
          </w:p>
        </w:tc>
        <w:tc>
          <w:tcPr>
            <w:tcW w:type="dxa" w:w="1500"/>
            <w:tcBorders>
              <w:top w:val="single" w:color="5F5E5A" w:sz="3"/>
              <w:left w:val="single" w:color="5F5E5A" w:sz="3"/>
              <w:bottom w:val="single" w:color="5F5E5A" w:sz="3"/>
              <w:right w:val="single" w:color="5F5E5A" w:sz="3"/>
            </w:tcBorders>
            <w:shd w:fill="F1EFE8" w:val="clear"/>
            <w:tcMar>
              <w:top w:type="dxa" w:w="80"/>
              <w:left w:type="dxa" w:w="150"/>
              <w:bottom w:type="dxa" w:w="80"/>
              <w:right w:type="dxa" w:w="150"/>
            </w:tcMar>
            <w:vAlign w:val="center"/>
          </w:tcPr>
          <w:p>
            <w:pPr>
              <w:spacing w:after="50" w:before="50"/>
              <w:jc w:val="center"/>
            </w:pPr>
            <w:r>
              <w:rPr>
                <w:rFonts w:ascii="Arial" w:cs="Arial" w:eastAsia="Arial" w:hAnsi="Arial"/>
                <w:b/>
                <w:bCs/>
                <w:i w:val="false"/>
                <w:iCs w:val="false"/>
                <w:color w:val="5F5E5A"/>
                <w:sz w:val="16"/>
                <w:szCs w:val="16"/>
              </w:rPr>
              <w:t xml:space="preserve">Exécution</w:t>
            </w:r>
          </w:p>
        </w:tc>
        <w:tc>
          <w:tcPr>
            <w:tcW w:type="dxa" w:w="1500"/>
            <w:tcBorders>
              <w:top w:val="single" w:color="993C1D" w:sz="3"/>
              <w:left w:val="single" w:color="993C1D" w:sz="3"/>
              <w:bottom w:val="single" w:color="993C1D" w:sz="3"/>
              <w:right w:val="single" w:color="993C1D" w:sz="3"/>
            </w:tcBorders>
            <w:shd w:fill="FAECE7" w:val="clear"/>
            <w:tcMar>
              <w:top w:type="dxa" w:w="80"/>
              <w:left w:type="dxa" w:w="150"/>
              <w:bottom w:type="dxa" w:w="80"/>
              <w:right w:type="dxa" w:w="150"/>
            </w:tcMar>
            <w:vAlign w:val="center"/>
          </w:tcPr>
          <w:p>
            <w:pPr>
              <w:spacing w:after="50" w:before="50"/>
              <w:jc w:val="center"/>
            </w:pPr>
            <w:r>
              <w:rPr>
                <w:rFonts w:ascii="Arial" w:cs="Arial" w:eastAsia="Arial" w:hAnsi="Arial"/>
                <w:b/>
                <w:bCs/>
                <w:i w:val="false"/>
                <w:iCs w:val="false"/>
                <w:color w:val="993C1D"/>
                <w:sz w:val="16"/>
                <w:szCs w:val="16"/>
              </w:rPr>
              <w:t xml:space="preserve">Justification</w:t>
            </w:r>
          </w:p>
        </w:tc>
        <w:tc>
          <w:tcPr>
            <w:tcW w:type="dxa" w:w="1500"/>
            <w:tcBorders>
              <w:top w:val="single" w:color="3C3489" w:sz="3"/>
              <w:left w:val="single" w:color="3C3489" w:sz="3"/>
              <w:bottom w:val="single" w:color="3C3489" w:sz="3"/>
              <w:right w:val="single" w:color="3C3489" w:sz="3"/>
            </w:tcBorders>
            <w:shd w:fill="EEEDFE" w:val="clear"/>
            <w:tcMar>
              <w:top w:type="dxa" w:w="80"/>
              <w:left w:type="dxa" w:w="150"/>
              <w:bottom w:type="dxa" w:w="80"/>
              <w:right w:type="dxa" w:w="150"/>
            </w:tcMar>
            <w:vAlign w:val="center"/>
          </w:tcPr>
          <w:p>
            <w:pPr>
              <w:spacing w:after="50" w:before="50"/>
              <w:jc w:val="center"/>
            </w:pPr>
            <w:r>
              <w:rPr>
                <w:rFonts w:ascii="Arial" w:cs="Arial" w:eastAsia="Arial" w:hAnsi="Arial"/>
                <w:b/>
                <w:bCs/>
                <w:i w:val="false"/>
                <w:iCs w:val="false"/>
                <w:color w:val="3C3489"/>
                <w:sz w:val="16"/>
                <w:szCs w:val="16"/>
              </w:rPr>
              <w:t xml:space="preserve">Comptabilisation</w:t>
            </w:r>
          </w:p>
        </w:tc>
      </w:tr>
    </w:tbl>
    <w:p>
      <w:pPr>
        <w:spacing w:after="80" w:before="12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0F6E56"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1. Objet</w:t>
            </w:r>
          </w:p>
        </w:tc>
      </w:tr>
    </w:tbl>
    <w:p>
      <w:pPr>
        <w:spacing w:after="80" w:before="50"/>
        <w:jc w:val="left"/>
      </w:pPr>
      <w:r>
        <w:rPr>
          <w:rFonts w:ascii="Arial" w:cs="Arial" w:eastAsia="Arial" w:hAnsi="Arial"/>
          <w:b w:val="false"/>
          <w:bCs w:val="false"/>
          <w:i w:val="false"/>
          <w:iCs w:val="false"/>
          <w:color w:val="2C2C2A"/>
          <w:sz w:val="20"/>
          <w:szCs w:val="20"/>
        </w:rPr>
        <w:t xml:space="preserve"/>
      </w:r>
    </w:p>
    <w:p>
      <w:pPr>
        <w:spacing w:after="80" w:before="0"/>
        <w:jc w:val="left"/>
      </w:pPr>
      <w:r>
        <w:rPr>
          <w:rFonts w:ascii="Arial" w:cs="Arial" w:eastAsia="Arial" w:hAnsi="Arial"/>
          <w:b w:val="false"/>
          <w:bCs w:val="false"/>
          <w:i w:val="false"/>
          <w:iCs w:val="false"/>
          <w:color w:val="2C2C2A"/>
          <w:sz w:val="20"/>
          <w:szCs w:val="20"/>
        </w:rPr>
        <w:t xml:space="preserve">Encadrer le processus de demande, d'approbation et de décaissement de l'avance destinée à couvrir les frais opérationnels d'une course : carburant, péages, et autres frais de route imprévus.</w:t>
      </w:r>
    </w:p>
    <w:p>
      <w:pPr>
        <w:spacing w:after="8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0F6E56"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2. Composition de l'avance</w:t>
            </w:r>
          </w:p>
        </w:tc>
      </w:tr>
    </w:tbl>
    <w:p>
      <w:pPr>
        <w:spacing w:after="80" w:before="5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000"/>
      </w:tblGrid>
      <w:tr>
        <w:tc>
          <w:tcPr>
            <w:tcW w:type="dxa" w:w="3000"/>
            <w:tcBorders>
              <w:top w:val="single" w:color="0F6E56" w:sz="4"/>
              <w:left w:val="single" w:color="0F6E56" w:sz="4"/>
              <w:bottom w:val="single" w:color="0F6E56" w:sz="4"/>
              <w:right w:val="single" w:color="0F6E56" w:sz="4"/>
            </w:tcBorders>
            <w:shd w:fill="0F6E56" w:val="clear"/>
            <w:tcMar>
              <w:top w:type="dxa" w:w="80"/>
              <w:left w:type="dxa" w:w="150"/>
              <w:bottom w:type="dxa" w:w="80"/>
              <w:right w:type="dxa" w:w="150"/>
            </w:tcMar>
            <w:vAlign w:val="center"/>
          </w:tcPr>
          <w:p>
            <w:pPr>
              <w:spacing w:after="80" w:before="0"/>
              <w:jc w:val="left"/>
            </w:pPr>
            <w:r>
              <w:rPr>
                <w:rFonts w:ascii="Arial" w:cs="Arial" w:eastAsia="Arial" w:hAnsi="Arial"/>
                <w:b/>
                <w:bCs/>
                <w:i w:val="false"/>
                <w:iCs w:val="false"/>
                <w:color w:val="FFFFFF"/>
                <w:sz w:val="17"/>
                <w:szCs w:val="17"/>
              </w:rPr>
              <w:t xml:space="preserve">Composante</w:t>
            </w:r>
          </w:p>
        </w:tc>
        <w:tc>
          <w:tcPr>
            <w:tcW w:type="dxa" w:w="4000"/>
            <w:tcBorders>
              <w:top w:val="single" w:color="0F6E56" w:sz="4"/>
              <w:left w:val="single" w:color="0F6E56" w:sz="4"/>
              <w:bottom w:val="single" w:color="0F6E56" w:sz="4"/>
              <w:right w:val="single" w:color="0F6E56" w:sz="4"/>
            </w:tcBorders>
            <w:shd w:fill="0F6E56" w:val="clear"/>
            <w:tcMar>
              <w:top w:type="dxa" w:w="80"/>
              <w:left w:type="dxa" w:w="150"/>
              <w:bottom w:type="dxa" w:w="80"/>
              <w:right w:type="dxa" w:w="150"/>
            </w:tcMar>
            <w:vAlign w:val="center"/>
          </w:tcPr>
          <w:p>
            <w:pPr>
              <w:spacing w:after="80" w:before="0"/>
              <w:jc w:val="left"/>
            </w:pPr>
            <w:r>
              <w:rPr>
                <w:rFonts w:ascii="Arial" w:cs="Arial" w:eastAsia="Arial" w:hAnsi="Arial"/>
                <w:b/>
                <w:bCs/>
                <w:i w:val="false"/>
                <w:iCs w:val="false"/>
                <w:color w:val="FFFFFF"/>
                <w:sz w:val="17"/>
                <w:szCs w:val="17"/>
              </w:rPr>
              <w:t xml:space="preserve">Description</w:t>
            </w:r>
          </w:p>
        </w:tc>
        <w:tc>
          <w:tcPr>
            <w:tcW w:type="dxa" w:w="2000"/>
            <w:tcBorders>
              <w:top w:val="single" w:color="0F6E56" w:sz="4"/>
              <w:left w:val="single" w:color="0F6E56" w:sz="4"/>
              <w:bottom w:val="single" w:color="0F6E56" w:sz="4"/>
              <w:right w:val="single" w:color="0F6E56" w:sz="4"/>
            </w:tcBorders>
            <w:shd w:fill="0F6E56" w:val="clear"/>
            <w:tcMar>
              <w:top w:type="dxa" w:w="80"/>
              <w:left w:type="dxa" w:w="150"/>
              <w:bottom w:type="dxa" w:w="80"/>
              <w:right w:type="dxa" w:w="150"/>
            </w:tcMar>
            <w:vAlign w:val="center"/>
          </w:tcPr>
          <w:p>
            <w:pPr>
              <w:spacing w:after="80" w:before="0"/>
              <w:jc w:val="left"/>
            </w:pPr>
            <w:r>
              <w:rPr>
                <w:rFonts w:ascii="Arial" w:cs="Arial" w:eastAsia="Arial" w:hAnsi="Arial"/>
                <w:b/>
                <w:bCs/>
                <w:i w:val="false"/>
                <w:iCs w:val="false"/>
                <w:color w:val="FFFFFF"/>
                <w:sz w:val="17"/>
                <w:szCs w:val="17"/>
              </w:rPr>
              <w:t xml:space="preserve">Justificatif attendu</w:t>
            </w:r>
          </w:p>
        </w:tc>
      </w:tr>
      <w:tr>
        <w:tc>
          <w:tcPr>
            <w:tcW w:type="dxa" w:w="3000"/>
            <w:tcBorders>
              <w:top w:val="single" w:color="D3D1C7" w:sz="3"/>
              <w:left w:val="single" w:color="D3D1C7" w:sz="3"/>
              <w:bottom w:val="single" w:color="D3D1C7" w:sz="3"/>
              <w:right w:val="single" w:color="D3D1C7" w:sz="3"/>
            </w:tcBorders>
            <w:shd w:fill="E1F5EE" w:val="clear"/>
            <w:tcMar>
              <w:top w:type="dxa" w:w="80"/>
              <w:left w:type="dxa" w:w="150"/>
              <w:bottom w:type="dxa" w:w="80"/>
              <w:right w:type="dxa" w:w="150"/>
            </w:tcMar>
            <w:vAlign w:val="center"/>
          </w:tcPr>
          <w:p>
            <w:pPr>
              <w:spacing w:after="80" w:before="0"/>
              <w:jc w:val="left"/>
            </w:pPr>
            <w:r>
              <w:rPr>
                <w:rFonts w:ascii="Arial" w:cs="Arial" w:eastAsia="Arial" w:hAnsi="Arial"/>
                <w:b/>
                <w:bCs/>
                <w:i w:val="false"/>
                <w:iCs w:val="false"/>
                <w:color w:val="0F6E56"/>
                <w:sz w:val="18"/>
                <w:szCs w:val="18"/>
              </w:rPr>
              <w:t xml:space="preserve">Carburant</w:t>
            </w:r>
          </w:p>
        </w:tc>
        <w:tc>
          <w:tcPr>
            <w:tcW w:type="dxa" w:w="4000"/>
            <w:tcBorders>
              <w:top w:val="single" w:color="D3D1C7" w:sz="3"/>
              <w:left w:val="single" w:color="D3D1C7" w:sz="3"/>
              <w:bottom w:val="single" w:color="D3D1C7" w:sz="3"/>
              <w:right w:val="single" w:color="D3D1C7" w:sz="3"/>
            </w:tcBorders>
            <w:shd w:fill="E1F5EE" w:val="clear"/>
            <w:tcMar>
              <w:top w:type="dxa" w:w="80"/>
              <w:left w:type="dxa" w:w="150"/>
              <w:bottom w:type="dxa" w:w="80"/>
              <w:right w:type="dxa" w:w="150"/>
            </w:tcMar>
            <w:vAlign w:val="center"/>
          </w:tcPr>
          <w:p>
            <w:pPr>
              <w:spacing w:after="80" w:before="0"/>
              <w:jc w:val="left"/>
            </w:pPr>
            <w:r>
              <w:rPr>
                <w:rFonts w:ascii="Arial" w:cs="Arial" w:eastAsia="Arial" w:hAnsi="Arial"/>
                <w:b w:val="false"/>
                <w:bCs w:val="false"/>
                <w:i w:val="false"/>
                <w:iCs w:val="false"/>
                <w:color w:val="2C2C2A"/>
                <w:sz w:val="18"/>
                <w:szCs w:val="18"/>
              </w:rPr>
              <w:t xml:space="preserve">Calculé sur base du trajet (km × consommation moyenne du camion)</w:t>
            </w:r>
          </w:p>
        </w:tc>
        <w:tc>
          <w:tcPr>
            <w:tcW w:type="dxa" w:w="2000"/>
            <w:tcBorders>
              <w:top w:val="single" w:color="D3D1C7" w:sz="3"/>
              <w:left w:val="single" w:color="D3D1C7" w:sz="3"/>
              <w:bottom w:val="single" w:color="D3D1C7" w:sz="3"/>
              <w:right w:val="single" w:color="D3D1C7" w:sz="3"/>
            </w:tcBorders>
            <w:shd w:fill="E1F5EE" w:val="clear"/>
            <w:tcMar>
              <w:top w:type="dxa" w:w="80"/>
              <w:left w:type="dxa" w:w="150"/>
              <w:bottom w:type="dxa" w:w="80"/>
              <w:right w:type="dxa" w:w="150"/>
            </w:tcMar>
            <w:vAlign w:val="center"/>
          </w:tcPr>
          <w:p>
            <w:pPr>
              <w:spacing w:after="80" w:before="0"/>
              <w:jc w:val="left"/>
            </w:pPr>
            <w:r>
              <w:rPr>
                <w:rFonts w:ascii="Arial" w:cs="Arial" w:eastAsia="Arial" w:hAnsi="Arial"/>
                <w:b w:val="false"/>
                <w:bCs w:val="false"/>
                <w:i/>
                <w:iCs/>
                <w:color w:val="5F5E5A"/>
                <w:sz w:val="17"/>
                <w:szCs w:val="17"/>
              </w:rPr>
              <w:t xml:space="preserve">Bon de carburant / reçu station</w:t>
            </w:r>
          </w:p>
        </w:tc>
      </w:tr>
      <w:tr>
        <w:tc>
          <w:tcPr>
            <w:tcW w:type="dxa" w:w="3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left"/>
            </w:pPr>
            <w:r>
              <w:rPr>
                <w:rFonts w:ascii="Arial" w:cs="Arial" w:eastAsia="Arial" w:hAnsi="Arial"/>
                <w:b/>
                <w:bCs/>
                <w:i w:val="false"/>
                <w:iCs w:val="false"/>
                <w:color w:val="0F6E56"/>
                <w:sz w:val="18"/>
                <w:szCs w:val="18"/>
              </w:rPr>
              <w:t xml:space="preserve">Péages</w:t>
            </w:r>
          </w:p>
        </w:tc>
        <w:tc>
          <w:tcPr>
            <w:tcW w:type="dxa" w:w="4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left"/>
            </w:pPr>
            <w:r>
              <w:rPr>
                <w:rFonts w:ascii="Arial" w:cs="Arial" w:eastAsia="Arial" w:hAnsi="Arial"/>
                <w:b w:val="false"/>
                <w:bCs w:val="false"/>
                <w:i w:val="false"/>
                <w:iCs w:val="false"/>
                <w:color w:val="2C2C2A"/>
                <w:sz w:val="18"/>
                <w:szCs w:val="18"/>
              </w:rPr>
              <w:t xml:space="preserve">Montant fixe selon le trajet Likasi–Kolwezi ou autre</w:t>
            </w:r>
          </w:p>
        </w:tc>
        <w:tc>
          <w:tcPr>
            <w:tcW w:type="dxa" w:w="2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left"/>
            </w:pPr>
            <w:r>
              <w:rPr>
                <w:rFonts w:ascii="Arial" w:cs="Arial" w:eastAsia="Arial" w:hAnsi="Arial"/>
                <w:b w:val="false"/>
                <w:bCs w:val="false"/>
                <w:i/>
                <w:iCs/>
                <w:color w:val="5F5E5A"/>
                <w:sz w:val="17"/>
                <w:szCs w:val="17"/>
              </w:rPr>
              <w:t xml:space="preserve">Reçus de péage</w:t>
            </w:r>
          </w:p>
        </w:tc>
      </w:tr>
      <w:tr>
        <w:tc>
          <w:tcPr>
            <w:tcW w:type="dxa" w:w="3000"/>
            <w:tcBorders>
              <w:top w:val="single" w:color="D3D1C7" w:sz="3"/>
              <w:left w:val="single" w:color="D3D1C7" w:sz="3"/>
              <w:bottom w:val="single" w:color="D3D1C7" w:sz="3"/>
              <w:right w:val="single" w:color="D3D1C7" w:sz="3"/>
            </w:tcBorders>
            <w:shd w:fill="E1F5EE" w:val="clear"/>
            <w:tcMar>
              <w:top w:type="dxa" w:w="80"/>
              <w:left w:type="dxa" w:w="150"/>
              <w:bottom w:type="dxa" w:w="80"/>
              <w:right w:type="dxa" w:w="150"/>
            </w:tcMar>
            <w:vAlign w:val="center"/>
          </w:tcPr>
          <w:p>
            <w:pPr>
              <w:spacing w:after="80" w:before="0"/>
              <w:jc w:val="left"/>
            </w:pPr>
            <w:r>
              <w:rPr>
                <w:rFonts w:ascii="Arial" w:cs="Arial" w:eastAsia="Arial" w:hAnsi="Arial"/>
                <w:b/>
                <w:bCs/>
                <w:i w:val="false"/>
                <w:iCs w:val="false"/>
                <w:color w:val="0F6E56"/>
                <w:sz w:val="18"/>
                <w:szCs w:val="18"/>
              </w:rPr>
              <w:t xml:space="preserve">Frais divers</w:t>
            </w:r>
          </w:p>
        </w:tc>
        <w:tc>
          <w:tcPr>
            <w:tcW w:type="dxa" w:w="4000"/>
            <w:tcBorders>
              <w:top w:val="single" w:color="D3D1C7" w:sz="3"/>
              <w:left w:val="single" w:color="D3D1C7" w:sz="3"/>
              <w:bottom w:val="single" w:color="D3D1C7" w:sz="3"/>
              <w:right w:val="single" w:color="D3D1C7" w:sz="3"/>
            </w:tcBorders>
            <w:shd w:fill="E1F5EE" w:val="clear"/>
            <w:tcMar>
              <w:top w:type="dxa" w:w="80"/>
              <w:left w:type="dxa" w:w="150"/>
              <w:bottom w:type="dxa" w:w="80"/>
              <w:right w:type="dxa" w:w="150"/>
            </w:tcMar>
            <w:vAlign w:val="center"/>
          </w:tcPr>
          <w:p>
            <w:pPr>
              <w:spacing w:after="80" w:before="0"/>
              <w:jc w:val="left"/>
            </w:pPr>
            <w:r>
              <w:rPr>
                <w:rFonts w:ascii="Arial" w:cs="Arial" w:eastAsia="Arial" w:hAnsi="Arial"/>
                <w:b w:val="false"/>
                <w:bCs w:val="false"/>
                <w:i w:val="false"/>
                <w:iCs w:val="false"/>
                <w:color w:val="2C2C2A"/>
                <w:sz w:val="18"/>
                <w:szCs w:val="18"/>
              </w:rPr>
              <w:t xml:space="preserve">Petite caisse de route pour imprévus (crevaison, frais mécanicien route)</w:t>
            </w:r>
          </w:p>
        </w:tc>
        <w:tc>
          <w:tcPr>
            <w:tcW w:type="dxa" w:w="2000"/>
            <w:tcBorders>
              <w:top w:val="single" w:color="D3D1C7" w:sz="3"/>
              <w:left w:val="single" w:color="D3D1C7" w:sz="3"/>
              <w:bottom w:val="single" w:color="D3D1C7" w:sz="3"/>
              <w:right w:val="single" w:color="D3D1C7" w:sz="3"/>
            </w:tcBorders>
            <w:shd w:fill="E1F5EE" w:val="clear"/>
            <w:tcMar>
              <w:top w:type="dxa" w:w="80"/>
              <w:left w:type="dxa" w:w="150"/>
              <w:bottom w:type="dxa" w:w="80"/>
              <w:right w:type="dxa" w:w="150"/>
            </w:tcMar>
            <w:vAlign w:val="center"/>
          </w:tcPr>
          <w:p>
            <w:pPr>
              <w:spacing w:after="80" w:before="0"/>
              <w:jc w:val="left"/>
            </w:pPr>
            <w:r>
              <w:rPr>
                <w:rFonts w:ascii="Arial" w:cs="Arial" w:eastAsia="Arial" w:hAnsi="Arial"/>
                <w:b w:val="false"/>
                <w:bCs w:val="false"/>
                <w:i/>
                <w:iCs/>
                <w:color w:val="5F5E5A"/>
                <w:sz w:val="17"/>
                <w:szCs w:val="17"/>
              </w:rPr>
              <w:t xml:space="preserve">Reçus / déclaration chauffeur</w:t>
            </w:r>
          </w:p>
        </w:tc>
      </w:tr>
    </w:tbl>
    <w:p>
      <w:pPr>
        <w:spacing w:after="8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0F6E56"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3. Étapes de la procédure</w:t>
            </w:r>
          </w:p>
        </w:tc>
      </w:tr>
    </w:tbl>
    <w:p>
      <w:pPr>
        <w:spacing w:after="80" w:before="5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4200"/>
        <w:gridCol w:w="2200"/>
      </w:tblGrid>
      <w:tr>
        <w:tc>
          <w:tcPr>
            <w:tcW w:type="dxa" w:w="600"/>
            <w:tcBorders>
              <w:top w:val="single" w:color="0F6E56" w:sz="4"/>
              <w:left w:val="single" w:color="0F6E56" w:sz="4"/>
              <w:bottom w:val="single" w:color="0F6E56" w:sz="4"/>
              <w:right w:val="single" w:color="0F6E56" w:sz="4"/>
            </w:tcBorders>
            <w:shd w:fill="0F6E56"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FFFFFF"/>
                <w:sz w:val="17"/>
                <w:szCs w:val="17"/>
              </w:rPr>
              <w:t xml:space="preserve">Étape</w:t>
            </w:r>
          </w:p>
        </w:tc>
        <w:tc>
          <w:tcPr>
            <w:tcW w:type="dxa" w:w="2000"/>
            <w:tcBorders>
              <w:top w:val="single" w:color="0F6E56" w:sz="4"/>
              <w:left w:val="single" w:color="0F6E56" w:sz="4"/>
              <w:bottom w:val="single" w:color="0F6E56" w:sz="4"/>
              <w:right w:val="single" w:color="0F6E56" w:sz="4"/>
            </w:tcBorders>
            <w:shd w:fill="0F6E56"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FFFFFF"/>
                <w:sz w:val="17"/>
                <w:szCs w:val="17"/>
              </w:rPr>
              <w:t xml:space="preserve">Acteur</w:t>
            </w:r>
          </w:p>
        </w:tc>
        <w:tc>
          <w:tcPr>
            <w:tcW w:type="dxa" w:w="4200"/>
            <w:tcBorders>
              <w:top w:val="single" w:color="0F6E56" w:sz="4"/>
              <w:left w:val="single" w:color="0F6E56" w:sz="4"/>
              <w:bottom w:val="single" w:color="0F6E56" w:sz="4"/>
              <w:right w:val="single" w:color="0F6E56" w:sz="4"/>
            </w:tcBorders>
            <w:shd w:fill="0F6E56" w:val="clear"/>
            <w:tcMar>
              <w:top w:type="dxa" w:w="80"/>
              <w:left w:type="dxa" w:w="150"/>
              <w:bottom w:type="dxa" w:w="80"/>
              <w:right w:type="dxa" w:w="150"/>
            </w:tcMar>
            <w:vAlign w:val="center"/>
          </w:tcPr>
          <w:p>
            <w:pPr>
              <w:spacing w:after="80" w:before="0"/>
              <w:jc w:val="left"/>
            </w:pPr>
            <w:r>
              <w:rPr>
                <w:rFonts w:ascii="Arial" w:cs="Arial" w:eastAsia="Arial" w:hAnsi="Arial"/>
                <w:b/>
                <w:bCs/>
                <w:i w:val="false"/>
                <w:iCs w:val="false"/>
                <w:color w:val="FFFFFF"/>
                <w:sz w:val="17"/>
                <w:szCs w:val="17"/>
              </w:rPr>
              <w:t xml:space="preserve">Action à réaliser</w:t>
            </w:r>
          </w:p>
        </w:tc>
        <w:tc>
          <w:tcPr>
            <w:tcW w:type="dxa" w:w="2200"/>
            <w:tcBorders>
              <w:top w:val="single" w:color="0F6E56" w:sz="4"/>
              <w:left w:val="single" w:color="0F6E56" w:sz="4"/>
              <w:bottom w:val="single" w:color="0F6E56" w:sz="4"/>
              <w:right w:val="single" w:color="0F6E56" w:sz="4"/>
            </w:tcBorders>
            <w:shd w:fill="0F6E56" w:val="clear"/>
            <w:tcMar>
              <w:top w:type="dxa" w:w="80"/>
              <w:left w:type="dxa" w:w="150"/>
              <w:bottom w:type="dxa" w:w="80"/>
              <w:right w:type="dxa" w:w="150"/>
            </w:tcMar>
            <w:vAlign w:val="center"/>
          </w:tcPr>
          <w:p>
            <w:pPr>
              <w:spacing w:after="80" w:before="0"/>
              <w:jc w:val="left"/>
            </w:pPr>
            <w:r>
              <w:rPr>
                <w:rFonts w:ascii="Arial" w:cs="Arial" w:eastAsia="Arial" w:hAnsi="Arial"/>
                <w:b/>
                <w:bCs/>
                <w:i w:val="false"/>
                <w:iCs w:val="false"/>
                <w:color w:val="FFFFFF"/>
                <w:sz w:val="17"/>
                <w:szCs w:val="17"/>
              </w:rPr>
              <w:t xml:space="preserve">Document produit / requis</w:t>
            </w:r>
          </w:p>
        </w:tc>
      </w:tr>
      <w:tr>
        <w:tc>
          <w:tcPr>
            <w:tcW w:type="dxa" w:w="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0F6E56"/>
                <w:sz w:val="18"/>
                <w:szCs w:val="18"/>
              </w:rPr>
              <w:t xml:space="preserve">1</w:t>
            </w:r>
          </w:p>
        </w:tc>
        <w:tc>
          <w:tcPr>
            <w:tcW w:type="dxa" w:w="2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Ass. Technique</w:t>
            </w:r>
          </w:p>
        </w:tc>
        <w:tc>
          <w:tcPr>
            <w:tcW w:type="dxa" w:w="4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Calcule le montant de l'avance nécessaire pour la course (carburant + péages + frais divers estimés). Prépare la Réquisition de fonds.</w:t>
            </w:r>
          </w:p>
        </w:tc>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Réquisition de fonds (modèle)</w:t>
            </w:r>
          </w:p>
        </w:tc>
      </w:tr>
      <w:tr>
        <w:tc>
          <w:tcPr>
            <w:tcW w:type="dxa" w:w="6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0F6E56"/>
                <w:sz w:val="18"/>
                <w:szCs w:val="18"/>
              </w:rPr>
              <w:t xml:space="preserve">2</w:t>
            </w:r>
          </w:p>
        </w:tc>
        <w:tc>
          <w:tcPr>
            <w:tcW w:type="dxa" w:w="20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Ass. Technique</w:t>
            </w:r>
          </w:p>
        </w:tc>
        <w:tc>
          <w:tcPr>
            <w:tcW w:type="dxa" w:w="4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Soumet la Réquisition au Directeur Financier pour approbation, accompagnée de la Fiche Course validée (PROC-KL-01).</w:t>
            </w:r>
          </w:p>
        </w:tc>
        <w:tc>
          <w:tcPr>
            <w:tcW w:type="dxa" w:w="2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Réquisition + Fiche Course</w:t>
            </w:r>
          </w:p>
        </w:tc>
      </w:tr>
      <w:tr>
        <w:tc>
          <w:tcPr>
            <w:tcW w:type="dxa" w:w="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0F6E56"/>
                <w:sz w:val="18"/>
                <w:szCs w:val="18"/>
              </w:rPr>
              <w:t xml:space="preserve">3</w:t>
            </w:r>
          </w:p>
        </w:tc>
        <w:tc>
          <w:tcPr>
            <w:tcW w:type="dxa" w:w="2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Directeur Financier</w:t>
            </w:r>
          </w:p>
        </w:tc>
        <w:tc>
          <w:tcPr>
            <w:tcW w:type="dxa" w:w="4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Vérifie la cohérence du montant demandé avec le trajet prévu. Approuve et signe la Réquisition. En cas de montant anormal, demande justification avant approbation.</w:t>
            </w:r>
          </w:p>
        </w:tc>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Réquisition signée</w:t>
            </w:r>
          </w:p>
        </w:tc>
      </w:tr>
      <w:tr>
        <w:tc>
          <w:tcPr>
            <w:tcW w:type="dxa" w:w="6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0F6E56"/>
                <w:sz w:val="18"/>
                <w:szCs w:val="18"/>
              </w:rPr>
              <w:t xml:space="preserve">4</w:t>
            </w:r>
          </w:p>
        </w:tc>
        <w:tc>
          <w:tcPr>
            <w:tcW w:type="dxa" w:w="20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Caissière (Likasi)</w:t>
            </w:r>
          </w:p>
        </w:tc>
        <w:tc>
          <w:tcPr>
            <w:tcW w:type="dxa" w:w="4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Sur présentation de la Réquisition signée par le DF, décaisse le montant approuvé. Enregistre la sortie dans le journal de caisse KAKO Logistique. Remet les fonds à l'Ass. Technique.</w:t>
            </w:r>
          </w:p>
        </w:tc>
        <w:tc>
          <w:tcPr>
            <w:tcW w:type="dxa" w:w="2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Journal de caisse — sortie</w:t>
            </w:r>
          </w:p>
        </w:tc>
      </w:tr>
      <w:tr>
        <w:tc>
          <w:tcPr>
            <w:tcW w:type="dxa" w:w="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0F6E56"/>
                <w:sz w:val="18"/>
                <w:szCs w:val="18"/>
              </w:rPr>
              <w:t xml:space="preserve">5</w:t>
            </w:r>
          </w:p>
        </w:tc>
        <w:tc>
          <w:tcPr>
            <w:tcW w:type="dxa" w:w="2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Ass. Technique</w:t>
            </w:r>
          </w:p>
        </w:tc>
        <w:tc>
          <w:tcPr>
            <w:tcW w:type="dxa" w:w="4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Signe le reçu de réception des fonds. Organise l'approvisionnement effectif en carburant du camion avant libération. Remet au chauffeur : argent péages + petite caisse route.</w:t>
            </w:r>
          </w:p>
        </w:tc>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Reçu de réception fonds</w:t>
            </w:r>
          </w:p>
        </w:tc>
      </w:tr>
      <w:tr>
        <w:tc>
          <w:tcPr>
            <w:tcW w:type="dxa" w:w="6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0F6E56"/>
                <w:sz w:val="18"/>
                <w:szCs w:val="18"/>
              </w:rPr>
              <w:t xml:space="preserve">6</w:t>
            </w:r>
          </w:p>
        </w:tc>
        <w:tc>
          <w:tcPr>
            <w:tcW w:type="dxa" w:w="20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Ass. Technique</w:t>
            </w:r>
          </w:p>
        </w:tc>
        <w:tc>
          <w:tcPr>
            <w:tcW w:type="dxa" w:w="4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Consigne les montants remis sur la Fiche Course (carburant mis en litres, argent péages remis, petite caisse remise). Contrôle physique que le carburant est bien dans le réservoir.</w:t>
            </w:r>
          </w:p>
        </w:tc>
        <w:tc>
          <w:tcPr>
            <w:tcW w:type="dxa" w:w="2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Fiche Course mise à jour</w:t>
            </w:r>
          </w:p>
        </w:tc>
      </w:tr>
    </w:tbl>
    <w:p>
      <w:pPr>
        <w:spacing w:after="8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5F5E5A"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4. Points de contrôle</w:t>
            </w:r>
          </w:p>
        </w:tc>
      </w:tr>
    </w:tbl>
    <w:p>
      <w:pPr>
        <w:spacing w:after="80" w:before="5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single" w:color="854F0B" w:sz="5"/>
              <w:left w:val="single" w:color="854F0B" w:sz="5"/>
              <w:bottom w:val="single" w:color="854F0B" w:sz="5"/>
              <w:right w:val="single" w:color="854F0B" w:sz="5"/>
            </w:tcBorders>
            <w:shd w:fill="FAEEDA"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854F0B"/>
                <w:sz w:val="20"/>
                <w:szCs w:val="20"/>
              </w:rPr>
              <w:t xml:space="preserve">!</w:t>
            </w:r>
          </w:p>
        </w:tc>
        <w:tc>
          <w:tcPr>
            <w:tcW w:type="dxa" w:w="8700"/>
            <w:tcBorders>
              <w:top w:val="single" w:color="854F0B" w:sz="5"/>
              <w:left w:val="nil" w:color="FFFFFF" w:sz="0"/>
              <w:bottom w:val="single" w:color="854F0B" w:sz="5"/>
              <w:right w:val="single" w:color="854F0B" w:sz="5"/>
            </w:tcBorders>
            <w:shd w:fill="FAEEDA"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iCs/>
                <w:color w:val="854F0B"/>
                <w:sz w:val="18"/>
                <w:szCs w:val="18"/>
              </w:rPr>
              <w:t xml:space="preserve">Toute Réquisition non signée par le Directeur Financier doit être refusée par la Caissière, sans exception. La signature du DF est la seule autorisation valable pour le décaissement.</w:t>
            </w:r>
          </w:p>
        </w:tc>
      </w:tr>
    </w:tbl>
    <w:p>
      <w:pPr>
        <w:spacing w:after="80" w:before="6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single" w:color="A32D2D" w:sz="5"/>
              <w:left w:val="single" w:color="A32D2D" w:sz="5"/>
              <w:bottom w:val="single" w:color="A32D2D" w:sz="5"/>
              <w:right w:val="single" w:color="A32D2D" w:sz="5"/>
            </w:tcBorders>
            <w:shd w:fill="FCEBEB"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A32D2D"/>
                <w:sz w:val="20"/>
                <w:szCs w:val="20"/>
              </w:rPr>
              <w:t xml:space="preserve">!</w:t>
            </w:r>
          </w:p>
        </w:tc>
        <w:tc>
          <w:tcPr>
            <w:tcW w:type="dxa" w:w="8700"/>
            <w:tcBorders>
              <w:top w:val="single" w:color="A32D2D" w:sz="5"/>
              <w:left w:val="nil" w:color="FFFFFF" w:sz="0"/>
              <w:bottom w:val="single" w:color="A32D2D" w:sz="5"/>
              <w:right w:val="single" w:color="A32D2D" w:sz="5"/>
            </w:tcBorders>
            <w:shd w:fill="FCEBEB"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iCs/>
                <w:color w:val="A32D2D"/>
                <w:sz w:val="18"/>
                <w:szCs w:val="18"/>
              </w:rPr>
              <w:t xml:space="preserve">L'Ass. Technique ne remet JAMAIS l'argent au chauffeur avant d'avoir vérifié physiquement que le carburant est dans le réservoir. L'avance carburant est convertie en carburant, pas en espèces remises au chauffeur.</w:t>
            </w:r>
          </w:p>
        </w:tc>
      </w:tr>
    </w:tbl>
    <w:p>
      <w:pPr>
        <w:spacing w:after="80" w:before="80"/>
        <w:jc w:val="left"/>
      </w:pPr>
      <w:r>
        <w:rPr>
          <w:rFonts w:ascii="Arial" w:cs="Arial" w:eastAsia="Arial" w:hAnsi="Arial"/>
          <w:b w:val="false"/>
          <w:bCs w:val="false"/>
          <w:i w:val="false"/>
          <w:iCs w:val="false"/>
          <w:color w:val="2C2C2A"/>
          <w:sz w:val="20"/>
          <w:szCs w:val="20"/>
        </w:rPr>
        <w:t xml:space="preserve"/>
      </w:r>
    </w:p>
    <w:p>
      <w:pPr>
        <w:pBdr>
          <w:bottom w:val="single" w:color="D3D1C7" w:sz="6" w:space="1"/>
        </w:pBdr>
        <w:spacing w:after="40" w:before="40"/>
        <w:jc w:val="left"/>
      </w:pPr>
      <w:r>
        <w:rPr>
          <w:rFonts w:ascii="Arial" w:cs="Arial" w:eastAsia="Arial" w:hAnsi="Arial"/>
          <w:b w:val="false"/>
          <w:bCs w:val="false"/>
          <w:i w:val="false"/>
          <w:iCs w:val="false"/>
          <w:color w:val="2C2C2A"/>
          <w:sz w:val="20"/>
          <w:szCs w:val="20"/>
        </w:rPr>
        <w:t xml:space="preserve"/>
      </w:r>
    </w:p>
    <w:p>
      <w:pPr>
        <w:spacing w:after="80" w:before="0"/>
        <w:jc w:val="center"/>
      </w:pPr>
      <w:r>
        <w:rPr>
          <w:rFonts w:ascii="Arial" w:cs="Arial" w:eastAsia="Arial" w:hAnsi="Arial"/>
          <w:b w:val="false"/>
          <w:bCs w:val="false"/>
          <w:i/>
          <w:iCs/>
          <w:color w:val="5F5E5A"/>
          <w:sz w:val="15"/>
          <w:szCs w:val="15"/>
        </w:rPr>
        <w:t xml:space="preserve">PROC-KL-02   |   KAKO Logistique — Procédures Opérationnelles   |   Document interne confidentiel</w:t>
      </w:r>
    </w:p>
    <w:p>
      <w:pPr>
        <w:spacing w:after="80" w:before="0"/>
        <w:jc w:val="left"/>
      </w:pPr>
      <w:r>
        <w:br w:type="pag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3C3489" w:val="clear"/>
            <w:tcMar>
              <w:top w:type="dxa" w:w="80"/>
              <w:left w:type="dxa" w:w="150"/>
              <w:bottom w:type="dxa" w:w="80"/>
              <w:right w:type="dxa" w:w="150"/>
            </w:tcMar>
            <w:vAlign w:val="center"/>
          </w:tcPr>
          <w:p>
            <w:pPr>
              <w:spacing w:after="6" w:before="40"/>
              <w:jc w:val="center"/>
            </w:pPr>
            <w:r>
              <w:rPr>
                <w:rFonts w:ascii="Arial" w:cs="Arial" w:eastAsia="Arial" w:hAnsi="Arial"/>
                <w:b w:val="false"/>
                <w:bCs w:val="false"/>
                <w:i w:val="false"/>
                <w:iCs w:val="false"/>
                <w:color w:val="CECBF6"/>
                <w:sz w:val="16"/>
                <w:szCs w:val="16"/>
              </w:rPr>
              <w:t xml:space="preserve">KAKO Logistique — Procédures Opérationnelles</w:t>
            </w:r>
          </w:p>
          <w:p>
            <w:pPr>
              <w:spacing w:after="40" w:before="0"/>
              <w:jc w:val="center"/>
            </w:pPr>
            <w:r>
              <w:rPr>
                <w:rFonts w:ascii="Arial" w:cs="Arial" w:eastAsia="Arial" w:hAnsi="Arial"/>
                <w:b/>
                <w:bCs/>
                <w:i w:val="false"/>
                <w:iCs w:val="false"/>
                <w:color w:val="FFFFFF"/>
                <w:sz w:val="24"/>
                <w:szCs w:val="24"/>
              </w:rPr>
              <w:t xml:space="preserve">PROC-KL-03 — Suivi &amp; clôture de course (retour camion)</w:t>
            </w:r>
          </w:p>
        </w:tc>
      </w:tr>
      <w:tr>
        <w:tc>
          <w:tcPr>
            <w:tcW w:type="dxa" w:w="9000"/>
            <w:tcBorders>
              <w:top w:val="nil" w:color="FFFFFF" w:sz="0"/>
              <w:left w:val="nil" w:color="FFFFFF" w:sz="0"/>
              <w:bottom w:val="nil" w:color="FFFFFF" w:sz="0"/>
              <w:right w:val="nil" w:color="FFFFFF" w:sz="0"/>
            </w:tcBorders>
            <w:shd w:fill="0F6E56" w:val="clear"/>
            <w:tcMar>
              <w:top w:type="dxa" w:w="80"/>
              <w:left w:type="dxa" w:w="150"/>
              <w:bottom w:type="dxa" w:w="80"/>
              <w:right w:type="dxa" w:w="150"/>
            </w:tcMar>
            <w:vAlign w:val="center"/>
          </w:tcPr>
          <w:p>
            <w:pPr>
              <w:spacing w:after="50" w:before="50"/>
              <w:jc w:val="center"/>
            </w:pPr>
            <w:r>
              <w:rPr>
                <w:rFonts w:ascii="Arial" w:cs="Arial" w:eastAsia="Arial" w:hAnsi="Arial"/>
                <w:b w:val="false"/>
                <w:bCs w:val="false"/>
                <w:i w:val="false"/>
                <w:iCs w:val="false"/>
                <w:color w:val="FFFFFF"/>
                <w:sz w:val="17"/>
                <w:szCs w:val="17"/>
              </w:rPr>
              <w:t xml:space="preserve">Catégorie : Transport — Contrôle   |   Fréquence : Par course</w:t>
            </w:r>
          </w:p>
        </w:tc>
      </w:tr>
    </w:tbl>
    <w:p>
      <w:pPr>
        <w:spacing w:after="8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0F6E56"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1. Objet</w:t>
            </w:r>
          </w:p>
        </w:tc>
      </w:tr>
    </w:tbl>
    <w:p>
      <w:pPr>
        <w:spacing w:after="80" w:before="50"/>
        <w:jc w:val="left"/>
      </w:pPr>
      <w:r>
        <w:rPr>
          <w:rFonts w:ascii="Arial" w:cs="Arial" w:eastAsia="Arial" w:hAnsi="Arial"/>
          <w:b w:val="false"/>
          <w:bCs w:val="false"/>
          <w:i w:val="false"/>
          <w:iCs w:val="false"/>
          <w:color w:val="2C2C2A"/>
          <w:sz w:val="20"/>
          <w:szCs w:val="20"/>
        </w:rPr>
        <w:t xml:space="preserve"/>
      </w:r>
    </w:p>
    <w:p>
      <w:pPr>
        <w:spacing w:after="80" w:before="0"/>
        <w:jc w:val="left"/>
      </w:pPr>
      <w:r>
        <w:rPr>
          <w:rFonts w:ascii="Arial" w:cs="Arial" w:eastAsia="Arial" w:hAnsi="Arial"/>
          <w:b w:val="false"/>
          <w:bCs w:val="false"/>
          <w:i w:val="false"/>
          <w:iCs w:val="false"/>
          <w:color w:val="2C2C2A"/>
          <w:sz w:val="20"/>
          <w:szCs w:val="20"/>
        </w:rPr>
        <w:t xml:space="preserve">Assurer le suivi du camion pendant la course et formaliser la clôture à son retour : vérification de la livraison, récupération des justificatifs de dépenses et des soldes non utilisés.</w:t>
      </w:r>
    </w:p>
    <w:p>
      <w:pPr>
        <w:spacing w:after="8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0F6E56"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2. Étapes de la procédure</w:t>
            </w:r>
          </w:p>
        </w:tc>
      </w:tr>
    </w:tbl>
    <w:p>
      <w:pPr>
        <w:spacing w:after="80" w:before="5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4200"/>
        <w:gridCol w:w="2200"/>
      </w:tblGrid>
      <w:tr>
        <w:tc>
          <w:tcPr>
            <w:tcW w:type="dxa" w:w="600"/>
            <w:tcBorders>
              <w:top w:val="single" w:color="0F6E56" w:sz="4"/>
              <w:left w:val="single" w:color="0F6E56" w:sz="4"/>
              <w:bottom w:val="single" w:color="0F6E56" w:sz="4"/>
              <w:right w:val="single" w:color="0F6E56" w:sz="4"/>
            </w:tcBorders>
            <w:shd w:fill="0F6E56"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FFFFFF"/>
                <w:sz w:val="17"/>
                <w:szCs w:val="17"/>
              </w:rPr>
              <w:t xml:space="preserve">Étape</w:t>
            </w:r>
          </w:p>
        </w:tc>
        <w:tc>
          <w:tcPr>
            <w:tcW w:type="dxa" w:w="2000"/>
            <w:tcBorders>
              <w:top w:val="single" w:color="0F6E56" w:sz="4"/>
              <w:left w:val="single" w:color="0F6E56" w:sz="4"/>
              <w:bottom w:val="single" w:color="0F6E56" w:sz="4"/>
              <w:right w:val="single" w:color="0F6E56" w:sz="4"/>
            </w:tcBorders>
            <w:shd w:fill="0F6E56"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FFFFFF"/>
                <w:sz w:val="17"/>
                <w:szCs w:val="17"/>
              </w:rPr>
              <w:t xml:space="preserve">Acteur</w:t>
            </w:r>
          </w:p>
        </w:tc>
        <w:tc>
          <w:tcPr>
            <w:tcW w:type="dxa" w:w="4200"/>
            <w:tcBorders>
              <w:top w:val="single" w:color="0F6E56" w:sz="4"/>
              <w:left w:val="single" w:color="0F6E56" w:sz="4"/>
              <w:bottom w:val="single" w:color="0F6E56" w:sz="4"/>
              <w:right w:val="single" w:color="0F6E56" w:sz="4"/>
            </w:tcBorders>
            <w:shd w:fill="0F6E56" w:val="clear"/>
            <w:tcMar>
              <w:top w:type="dxa" w:w="80"/>
              <w:left w:type="dxa" w:w="150"/>
              <w:bottom w:type="dxa" w:w="80"/>
              <w:right w:type="dxa" w:w="150"/>
            </w:tcMar>
            <w:vAlign w:val="center"/>
          </w:tcPr>
          <w:p>
            <w:pPr>
              <w:spacing w:after="80" w:before="0"/>
              <w:jc w:val="left"/>
            </w:pPr>
            <w:r>
              <w:rPr>
                <w:rFonts w:ascii="Arial" w:cs="Arial" w:eastAsia="Arial" w:hAnsi="Arial"/>
                <w:b/>
                <w:bCs/>
                <w:i w:val="false"/>
                <w:iCs w:val="false"/>
                <w:color w:val="FFFFFF"/>
                <w:sz w:val="17"/>
                <w:szCs w:val="17"/>
              </w:rPr>
              <w:t xml:space="preserve">Action à réaliser</w:t>
            </w:r>
          </w:p>
        </w:tc>
        <w:tc>
          <w:tcPr>
            <w:tcW w:type="dxa" w:w="2200"/>
            <w:tcBorders>
              <w:top w:val="single" w:color="0F6E56" w:sz="4"/>
              <w:left w:val="single" w:color="0F6E56" w:sz="4"/>
              <w:bottom w:val="single" w:color="0F6E56" w:sz="4"/>
              <w:right w:val="single" w:color="0F6E56" w:sz="4"/>
            </w:tcBorders>
            <w:shd w:fill="0F6E56" w:val="clear"/>
            <w:tcMar>
              <w:top w:type="dxa" w:w="80"/>
              <w:left w:type="dxa" w:w="150"/>
              <w:bottom w:type="dxa" w:w="80"/>
              <w:right w:type="dxa" w:w="150"/>
            </w:tcMar>
            <w:vAlign w:val="center"/>
          </w:tcPr>
          <w:p>
            <w:pPr>
              <w:spacing w:after="80" w:before="0"/>
              <w:jc w:val="left"/>
            </w:pPr>
            <w:r>
              <w:rPr>
                <w:rFonts w:ascii="Arial" w:cs="Arial" w:eastAsia="Arial" w:hAnsi="Arial"/>
                <w:b/>
                <w:bCs/>
                <w:i w:val="false"/>
                <w:iCs w:val="false"/>
                <w:color w:val="FFFFFF"/>
                <w:sz w:val="17"/>
                <w:szCs w:val="17"/>
              </w:rPr>
              <w:t xml:space="preserve">Document produit / requis</w:t>
            </w:r>
          </w:p>
        </w:tc>
      </w:tr>
      <w:tr>
        <w:tc>
          <w:tcPr>
            <w:tcW w:type="dxa" w:w="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0F6E56"/>
                <w:sz w:val="18"/>
                <w:szCs w:val="18"/>
              </w:rPr>
              <w:t xml:space="preserve">1</w:t>
            </w:r>
          </w:p>
        </w:tc>
        <w:tc>
          <w:tcPr>
            <w:tcW w:type="dxa" w:w="2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Dispatcher / Ass. Technique</w:t>
            </w:r>
          </w:p>
        </w:tc>
        <w:tc>
          <w:tcPr>
            <w:tcW w:type="dxa" w:w="4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Suit le déroulement de la course en temps réel (contact téléphonique avec le chauffeur). Consigne tout incident (panne, accident, retard, problème de livraison) sur le registre des incidents.</w:t>
            </w:r>
          </w:p>
        </w:tc>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Registre des incidents flotte</w:t>
            </w:r>
          </w:p>
        </w:tc>
      </w:tr>
      <w:tr>
        <w:tc>
          <w:tcPr>
            <w:tcW w:type="dxa" w:w="6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0F6E56"/>
                <w:sz w:val="18"/>
                <w:szCs w:val="18"/>
              </w:rPr>
              <w:t xml:space="preserve">2</w:t>
            </w:r>
          </w:p>
        </w:tc>
        <w:tc>
          <w:tcPr>
            <w:tcW w:type="dxa" w:w="20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Chauffeur</w:t>
            </w:r>
          </w:p>
        </w:tc>
        <w:tc>
          <w:tcPr>
            <w:tcW w:type="dxa" w:w="4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À la livraison, fait signer le bon de livraison par le destinataire. Conserve tous les reçus de péages et de dépenses effectuées en route.</w:t>
            </w:r>
          </w:p>
        </w:tc>
        <w:tc>
          <w:tcPr>
            <w:tcW w:type="dxa" w:w="2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Bon de livraison signé</w:t>
            </w:r>
          </w:p>
        </w:tc>
      </w:tr>
      <w:tr>
        <w:tc>
          <w:tcPr>
            <w:tcW w:type="dxa" w:w="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0F6E56"/>
                <w:sz w:val="18"/>
                <w:szCs w:val="18"/>
              </w:rPr>
              <w:t xml:space="preserve">3</w:t>
            </w:r>
          </w:p>
        </w:tc>
        <w:tc>
          <w:tcPr>
            <w:tcW w:type="dxa" w:w="2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Chauffeur</w:t>
            </w:r>
          </w:p>
        </w:tc>
        <w:tc>
          <w:tcPr>
            <w:tcW w:type="dxa" w:w="4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Au retour à la base, remet à l'Ass. Technique : le bon de livraison signé, tous les reçus de dépenses, et le solde non dépensé (monnaie restante).</w:t>
            </w:r>
          </w:p>
        </w:tc>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Bon de livraison + reçus + solde</w:t>
            </w:r>
          </w:p>
        </w:tc>
      </w:tr>
      <w:tr>
        <w:tc>
          <w:tcPr>
            <w:tcW w:type="dxa" w:w="6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0F6E56"/>
                <w:sz w:val="18"/>
                <w:szCs w:val="18"/>
              </w:rPr>
              <w:t xml:space="preserve">4</w:t>
            </w:r>
          </w:p>
        </w:tc>
        <w:tc>
          <w:tcPr>
            <w:tcW w:type="dxa" w:w="20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Ass. Technique</w:t>
            </w:r>
          </w:p>
        </w:tc>
        <w:tc>
          <w:tcPr>
            <w:tcW w:type="dxa" w:w="4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Reçoit et contrôle les documents remis par le chauffeur. Vérifie que le total dépenses + solde = montant de l'avance initiale. Note l'heure de retour sur la Fiche Course.</w:t>
            </w:r>
          </w:p>
        </w:tc>
        <w:tc>
          <w:tcPr>
            <w:tcW w:type="dxa" w:w="2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Fiche Course — retour complété</w:t>
            </w:r>
          </w:p>
        </w:tc>
      </w:tr>
      <w:tr>
        <w:tc>
          <w:tcPr>
            <w:tcW w:type="dxa" w:w="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0F6E56"/>
                <w:sz w:val="18"/>
                <w:szCs w:val="18"/>
              </w:rPr>
              <w:t xml:space="preserve">5</w:t>
            </w:r>
          </w:p>
        </w:tc>
        <w:tc>
          <w:tcPr>
            <w:tcW w:type="dxa" w:w="2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Ass. Technique</w:t>
            </w:r>
          </w:p>
        </w:tc>
        <w:tc>
          <w:tcPr>
            <w:tcW w:type="dxa" w:w="4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Remet le solde non utilisé à la Caissière avec le détail des dépenses justifiées. Déclenche la procédure de justification (PROC-KL-07).</w:t>
            </w:r>
          </w:p>
        </w:tc>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Voir PROC-KL-07</w:t>
            </w:r>
          </w:p>
        </w:tc>
      </w:tr>
      <w:tr>
        <w:tc>
          <w:tcPr>
            <w:tcW w:type="dxa" w:w="6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0F6E56"/>
                <w:sz w:val="18"/>
                <w:szCs w:val="18"/>
              </w:rPr>
              <w:t xml:space="preserve">6</w:t>
            </w:r>
          </w:p>
        </w:tc>
        <w:tc>
          <w:tcPr>
            <w:tcW w:type="dxa" w:w="20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Ass. Technique</w:t>
            </w:r>
          </w:p>
        </w:tc>
        <w:tc>
          <w:tcPr>
            <w:tcW w:type="dxa" w:w="4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Envoie la Fiche Course clôturée (départ + retour + incidents) au canal Teams KAKO Logistique. Informe le Dispatcher de la disponibilité du camion.</w:t>
            </w:r>
          </w:p>
        </w:tc>
        <w:tc>
          <w:tcPr>
            <w:tcW w:type="dxa" w:w="2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Fiche Course clôturée — Teams</w:t>
            </w:r>
          </w:p>
        </w:tc>
      </w:tr>
      <w:tr>
        <w:tc>
          <w:tcPr>
            <w:tcW w:type="dxa" w:w="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0F6E56"/>
                <w:sz w:val="18"/>
                <w:szCs w:val="18"/>
              </w:rPr>
              <w:t xml:space="preserve">7</w:t>
            </w:r>
          </w:p>
        </w:tc>
        <w:tc>
          <w:tcPr>
            <w:tcW w:type="dxa" w:w="2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Dispatcher</w:t>
            </w:r>
          </w:p>
        </w:tc>
        <w:tc>
          <w:tcPr>
            <w:tcW w:type="dxa" w:w="4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Met à jour le tableau de disponibilité de la flotte. Le camion est de nouveau disponible pour une nouvelle affectation.</w:t>
            </w:r>
          </w:p>
        </w:tc>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Tableau de disponibilité flotte</w:t>
            </w:r>
          </w:p>
        </w:tc>
      </w:tr>
    </w:tbl>
    <w:p>
      <w:pPr>
        <w:spacing w:after="8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5F5E5A"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3. Points de contrôle</w:t>
            </w:r>
          </w:p>
        </w:tc>
      </w:tr>
    </w:tbl>
    <w:p>
      <w:pPr>
        <w:spacing w:after="80" w:before="5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single" w:color="854F0B" w:sz="5"/>
              <w:left w:val="single" w:color="854F0B" w:sz="5"/>
              <w:bottom w:val="single" w:color="854F0B" w:sz="5"/>
              <w:right w:val="single" w:color="854F0B" w:sz="5"/>
            </w:tcBorders>
            <w:shd w:fill="FAEEDA"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854F0B"/>
                <w:sz w:val="20"/>
                <w:szCs w:val="20"/>
              </w:rPr>
              <w:t xml:space="preserve">!</w:t>
            </w:r>
          </w:p>
        </w:tc>
        <w:tc>
          <w:tcPr>
            <w:tcW w:type="dxa" w:w="8700"/>
            <w:tcBorders>
              <w:top w:val="single" w:color="854F0B" w:sz="5"/>
              <w:left w:val="nil" w:color="FFFFFF" w:sz="0"/>
              <w:bottom w:val="single" w:color="854F0B" w:sz="5"/>
              <w:right w:val="single" w:color="854F0B" w:sz="5"/>
            </w:tcBorders>
            <w:shd w:fill="FAEEDA"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iCs/>
                <w:color w:val="854F0B"/>
                <w:sz w:val="18"/>
                <w:szCs w:val="18"/>
              </w:rPr>
              <w:t xml:space="preserve">Le solde non utilisé doit être remis à la Caissière dans les 2 heures suivant le retour du camion. Tout solde non remis dans ce délai est signalé au Directeur Financier.</w:t>
            </w:r>
          </w:p>
        </w:tc>
      </w:tr>
    </w:tbl>
    <w:p>
      <w:pPr>
        <w:spacing w:after="80" w:before="6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single" w:color="A32D2D" w:sz="5"/>
              <w:left w:val="single" w:color="A32D2D" w:sz="5"/>
              <w:bottom w:val="single" w:color="A32D2D" w:sz="5"/>
              <w:right w:val="single" w:color="A32D2D" w:sz="5"/>
            </w:tcBorders>
            <w:shd w:fill="FCEBEB"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A32D2D"/>
                <w:sz w:val="20"/>
                <w:szCs w:val="20"/>
              </w:rPr>
              <w:t xml:space="preserve">!</w:t>
            </w:r>
          </w:p>
        </w:tc>
        <w:tc>
          <w:tcPr>
            <w:tcW w:type="dxa" w:w="8700"/>
            <w:tcBorders>
              <w:top w:val="single" w:color="A32D2D" w:sz="5"/>
              <w:left w:val="nil" w:color="FFFFFF" w:sz="0"/>
              <w:bottom w:val="single" w:color="A32D2D" w:sz="5"/>
              <w:right w:val="single" w:color="A32D2D" w:sz="5"/>
            </w:tcBorders>
            <w:shd w:fill="FCEBEB"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iCs/>
                <w:color w:val="A32D2D"/>
                <w:sz w:val="18"/>
                <w:szCs w:val="18"/>
              </w:rPr>
              <w:t xml:space="preserve">Si le total justificatifs + solde ne correspond pas à l'avance initiale, l'Ass. Technique ne valide pas la clôture et escalade immédiatement au Directeur Financier avant de libérer le chauffeur.</w:t>
            </w:r>
          </w:p>
        </w:tc>
      </w:tr>
    </w:tbl>
    <w:p>
      <w:pPr>
        <w:spacing w:after="80" w:before="80"/>
        <w:jc w:val="left"/>
      </w:pPr>
      <w:r>
        <w:rPr>
          <w:rFonts w:ascii="Arial" w:cs="Arial" w:eastAsia="Arial" w:hAnsi="Arial"/>
          <w:b w:val="false"/>
          <w:bCs w:val="false"/>
          <w:i w:val="false"/>
          <w:iCs w:val="false"/>
          <w:color w:val="2C2C2A"/>
          <w:sz w:val="20"/>
          <w:szCs w:val="20"/>
        </w:rPr>
        <w:t xml:space="preserve"/>
      </w:r>
    </w:p>
    <w:p>
      <w:pPr>
        <w:pBdr>
          <w:bottom w:val="single" w:color="D3D1C7" w:sz="6" w:space="1"/>
        </w:pBdr>
        <w:spacing w:after="40" w:before="40"/>
        <w:jc w:val="left"/>
      </w:pPr>
      <w:r>
        <w:rPr>
          <w:rFonts w:ascii="Arial" w:cs="Arial" w:eastAsia="Arial" w:hAnsi="Arial"/>
          <w:b w:val="false"/>
          <w:bCs w:val="false"/>
          <w:i w:val="false"/>
          <w:iCs w:val="false"/>
          <w:color w:val="2C2C2A"/>
          <w:sz w:val="20"/>
          <w:szCs w:val="20"/>
        </w:rPr>
        <w:t xml:space="preserve"/>
      </w:r>
    </w:p>
    <w:p>
      <w:pPr>
        <w:spacing w:after="80" w:before="0"/>
        <w:jc w:val="center"/>
      </w:pPr>
      <w:r>
        <w:rPr>
          <w:rFonts w:ascii="Arial" w:cs="Arial" w:eastAsia="Arial" w:hAnsi="Arial"/>
          <w:b w:val="false"/>
          <w:bCs w:val="false"/>
          <w:i/>
          <w:iCs/>
          <w:color w:val="5F5E5A"/>
          <w:sz w:val="15"/>
          <w:szCs w:val="15"/>
        </w:rPr>
        <w:t xml:space="preserve">PROC-KL-03   |   KAKO Logistique — Procédures Opérationnelles   |   Document interne confidentiel</w:t>
      </w:r>
    </w:p>
    <w:p>
      <w:pPr>
        <w:spacing w:after="80" w:before="0"/>
        <w:jc w:val="left"/>
      </w:pPr>
      <w:r>
        <w:br w:type="pag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3C3489" w:val="clear"/>
            <w:tcMar>
              <w:top w:type="dxa" w:w="80"/>
              <w:left w:type="dxa" w:w="150"/>
              <w:bottom w:type="dxa" w:w="80"/>
              <w:right w:type="dxa" w:w="150"/>
            </w:tcMar>
            <w:vAlign w:val="center"/>
          </w:tcPr>
          <w:p>
            <w:pPr>
              <w:spacing w:after="6" w:before="40"/>
              <w:jc w:val="center"/>
            </w:pPr>
            <w:r>
              <w:rPr>
                <w:rFonts w:ascii="Arial" w:cs="Arial" w:eastAsia="Arial" w:hAnsi="Arial"/>
                <w:b w:val="false"/>
                <w:bCs w:val="false"/>
                <w:i w:val="false"/>
                <w:iCs w:val="false"/>
                <w:color w:val="CECBF6"/>
                <w:sz w:val="16"/>
                <w:szCs w:val="16"/>
              </w:rPr>
              <w:t xml:space="preserve">KAKO Logistique — Procédures Opérationnelles</w:t>
            </w:r>
          </w:p>
          <w:p>
            <w:pPr>
              <w:spacing w:after="40" w:before="0"/>
              <w:jc w:val="center"/>
            </w:pPr>
            <w:r>
              <w:rPr>
                <w:rFonts w:ascii="Arial" w:cs="Arial" w:eastAsia="Arial" w:hAnsi="Arial"/>
                <w:b/>
                <w:bCs/>
                <w:i w:val="false"/>
                <w:iCs w:val="false"/>
                <w:color w:val="FFFFFF"/>
                <w:sz w:val="24"/>
                <w:szCs w:val="24"/>
              </w:rPr>
              <w:t xml:space="preserve">PROC-KL-04 — Facturation du client pour la course effectuée</w:t>
            </w:r>
          </w:p>
        </w:tc>
      </w:tr>
      <w:tr>
        <w:tc>
          <w:tcPr>
            <w:tcW w:type="dxa" w:w="9000"/>
            <w:tcBorders>
              <w:top w:val="nil" w:color="FFFFFF" w:sz="0"/>
              <w:left w:val="nil" w:color="FFFFFF" w:sz="0"/>
              <w:bottom w:val="nil" w:color="FFFFFF" w:sz="0"/>
              <w:right w:val="nil" w:color="FFFFFF" w:sz="0"/>
            </w:tcBorders>
            <w:shd w:fill="0F6E56" w:val="clear"/>
            <w:tcMar>
              <w:top w:type="dxa" w:w="80"/>
              <w:left w:type="dxa" w:w="150"/>
              <w:bottom w:type="dxa" w:w="80"/>
              <w:right w:type="dxa" w:w="150"/>
            </w:tcMar>
            <w:vAlign w:val="center"/>
          </w:tcPr>
          <w:p>
            <w:pPr>
              <w:spacing w:after="50" w:before="50"/>
              <w:jc w:val="center"/>
            </w:pPr>
            <w:r>
              <w:rPr>
                <w:rFonts w:ascii="Arial" w:cs="Arial" w:eastAsia="Arial" w:hAnsi="Arial"/>
                <w:b w:val="false"/>
                <w:bCs w:val="false"/>
                <w:i w:val="false"/>
                <w:iCs w:val="false"/>
                <w:color w:val="FFFFFF"/>
                <w:sz w:val="17"/>
                <w:szCs w:val="17"/>
              </w:rPr>
              <w:t xml:space="preserve">Catégorie : Transport — Commercial   |   Fréquence : Par course livrée</w:t>
            </w:r>
          </w:p>
        </w:tc>
      </w:tr>
    </w:tbl>
    <w:p>
      <w:pPr>
        <w:spacing w:after="8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0F6E56"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1. Objet</w:t>
            </w:r>
          </w:p>
        </w:tc>
      </w:tr>
    </w:tbl>
    <w:p>
      <w:pPr>
        <w:spacing w:after="80" w:before="50"/>
        <w:jc w:val="left"/>
      </w:pPr>
      <w:r>
        <w:rPr>
          <w:rFonts w:ascii="Arial" w:cs="Arial" w:eastAsia="Arial" w:hAnsi="Arial"/>
          <w:b w:val="false"/>
          <w:bCs w:val="false"/>
          <w:i w:val="false"/>
          <w:iCs w:val="false"/>
          <w:color w:val="2C2C2A"/>
          <w:sz w:val="20"/>
          <w:szCs w:val="20"/>
        </w:rPr>
        <w:t xml:space="preserve"/>
      </w:r>
    </w:p>
    <w:p>
      <w:pPr>
        <w:spacing w:after="80" w:before="0"/>
        <w:jc w:val="left"/>
      </w:pPr>
      <w:r>
        <w:rPr>
          <w:rFonts w:ascii="Arial" w:cs="Arial" w:eastAsia="Arial" w:hAnsi="Arial"/>
          <w:b w:val="false"/>
          <w:bCs w:val="false"/>
          <w:i w:val="false"/>
          <w:iCs w:val="false"/>
          <w:color w:val="2C2C2A"/>
          <w:sz w:val="20"/>
          <w:szCs w:val="20"/>
        </w:rPr>
        <w:t xml:space="preserve">Encadrer l'émission de la facture au client (interne ou externe) pour chaque course de transport réalisée, depuis la collecte des données jusqu'à l'enregistrement comptable.</w:t>
      </w:r>
    </w:p>
    <w:p>
      <w:pPr>
        <w:spacing w:after="8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0F6E56"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2. Étapes de la procédure</w:t>
            </w:r>
          </w:p>
        </w:tc>
      </w:tr>
    </w:tbl>
    <w:p>
      <w:pPr>
        <w:spacing w:after="80" w:before="5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4200"/>
        <w:gridCol w:w="2200"/>
      </w:tblGrid>
      <w:tr>
        <w:tc>
          <w:tcPr>
            <w:tcW w:type="dxa" w:w="600"/>
            <w:tcBorders>
              <w:top w:val="single" w:color="0F6E56" w:sz="4"/>
              <w:left w:val="single" w:color="0F6E56" w:sz="4"/>
              <w:bottom w:val="single" w:color="0F6E56" w:sz="4"/>
              <w:right w:val="single" w:color="0F6E56" w:sz="4"/>
            </w:tcBorders>
            <w:shd w:fill="0F6E56"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FFFFFF"/>
                <w:sz w:val="17"/>
                <w:szCs w:val="17"/>
              </w:rPr>
              <w:t xml:space="preserve">Étape</w:t>
            </w:r>
          </w:p>
        </w:tc>
        <w:tc>
          <w:tcPr>
            <w:tcW w:type="dxa" w:w="2000"/>
            <w:tcBorders>
              <w:top w:val="single" w:color="0F6E56" w:sz="4"/>
              <w:left w:val="single" w:color="0F6E56" w:sz="4"/>
              <w:bottom w:val="single" w:color="0F6E56" w:sz="4"/>
              <w:right w:val="single" w:color="0F6E56" w:sz="4"/>
            </w:tcBorders>
            <w:shd w:fill="0F6E56"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FFFFFF"/>
                <w:sz w:val="17"/>
                <w:szCs w:val="17"/>
              </w:rPr>
              <w:t xml:space="preserve">Acteur</w:t>
            </w:r>
          </w:p>
        </w:tc>
        <w:tc>
          <w:tcPr>
            <w:tcW w:type="dxa" w:w="4200"/>
            <w:tcBorders>
              <w:top w:val="single" w:color="0F6E56" w:sz="4"/>
              <w:left w:val="single" w:color="0F6E56" w:sz="4"/>
              <w:bottom w:val="single" w:color="0F6E56" w:sz="4"/>
              <w:right w:val="single" w:color="0F6E56" w:sz="4"/>
            </w:tcBorders>
            <w:shd w:fill="0F6E56" w:val="clear"/>
            <w:tcMar>
              <w:top w:type="dxa" w:w="80"/>
              <w:left w:type="dxa" w:w="150"/>
              <w:bottom w:type="dxa" w:w="80"/>
              <w:right w:type="dxa" w:w="150"/>
            </w:tcMar>
            <w:vAlign w:val="center"/>
          </w:tcPr>
          <w:p>
            <w:pPr>
              <w:spacing w:after="80" w:before="0"/>
              <w:jc w:val="left"/>
            </w:pPr>
            <w:r>
              <w:rPr>
                <w:rFonts w:ascii="Arial" w:cs="Arial" w:eastAsia="Arial" w:hAnsi="Arial"/>
                <w:b/>
                <w:bCs/>
                <w:i w:val="false"/>
                <w:iCs w:val="false"/>
                <w:color w:val="FFFFFF"/>
                <w:sz w:val="17"/>
                <w:szCs w:val="17"/>
              </w:rPr>
              <w:t xml:space="preserve">Action à réaliser</w:t>
            </w:r>
          </w:p>
        </w:tc>
        <w:tc>
          <w:tcPr>
            <w:tcW w:type="dxa" w:w="2200"/>
            <w:tcBorders>
              <w:top w:val="single" w:color="0F6E56" w:sz="4"/>
              <w:left w:val="single" w:color="0F6E56" w:sz="4"/>
              <w:bottom w:val="single" w:color="0F6E56" w:sz="4"/>
              <w:right w:val="single" w:color="0F6E56" w:sz="4"/>
            </w:tcBorders>
            <w:shd w:fill="0F6E56" w:val="clear"/>
            <w:tcMar>
              <w:top w:type="dxa" w:w="80"/>
              <w:left w:type="dxa" w:w="150"/>
              <w:bottom w:type="dxa" w:w="80"/>
              <w:right w:type="dxa" w:w="150"/>
            </w:tcMar>
            <w:vAlign w:val="center"/>
          </w:tcPr>
          <w:p>
            <w:pPr>
              <w:spacing w:after="80" w:before="0"/>
              <w:jc w:val="left"/>
            </w:pPr>
            <w:r>
              <w:rPr>
                <w:rFonts w:ascii="Arial" w:cs="Arial" w:eastAsia="Arial" w:hAnsi="Arial"/>
                <w:b/>
                <w:bCs/>
                <w:i w:val="false"/>
                <w:iCs w:val="false"/>
                <w:color w:val="FFFFFF"/>
                <w:sz w:val="17"/>
                <w:szCs w:val="17"/>
              </w:rPr>
              <w:t xml:space="preserve">Document produit / requis</w:t>
            </w:r>
          </w:p>
        </w:tc>
      </w:tr>
      <w:tr>
        <w:tc>
          <w:tcPr>
            <w:tcW w:type="dxa" w:w="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0F6E56"/>
                <w:sz w:val="18"/>
                <w:szCs w:val="18"/>
              </w:rPr>
              <w:t xml:space="preserve">1</w:t>
            </w:r>
          </w:p>
        </w:tc>
        <w:tc>
          <w:tcPr>
            <w:tcW w:type="dxa" w:w="2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Ass. Technique</w:t>
            </w:r>
          </w:p>
        </w:tc>
        <w:tc>
          <w:tcPr>
            <w:tcW w:type="dxa" w:w="4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Sur base de la Fiche Course clôturée, compile les éléments de facturation : camion, trajet, marchandise, tonnage transporté, date.</w:t>
            </w:r>
          </w:p>
        </w:tc>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Fiche Course clôturée</w:t>
            </w:r>
          </w:p>
        </w:tc>
      </w:tr>
      <w:tr>
        <w:tc>
          <w:tcPr>
            <w:tcW w:type="dxa" w:w="6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0F6E56"/>
                <w:sz w:val="18"/>
                <w:szCs w:val="18"/>
              </w:rPr>
              <w:t xml:space="preserve">2</w:t>
            </w:r>
          </w:p>
        </w:tc>
        <w:tc>
          <w:tcPr>
            <w:tcW w:type="dxa" w:w="20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Ass. Technique</w:t>
            </w:r>
          </w:p>
        </w:tc>
        <w:tc>
          <w:tcPr>
            <w:tcW w:type="dxa" w:w="4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Prépare le projet de facture selon le tarif convenu avec le client (prix à la tonne ou au voyage). Soumet au Directeur Financier pour validation.</w:t>
            </w:r>
          </w:p>
        </w:tc>
        <w:tc>
          <w:tcPr>
            <w:tcW w:type="dxa" w:w="2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Projet de facture</w:t>
            </w:r>
          </w:p>
        </w:tc>
      </w:tr>
      <w:tr>
        <w:tc>
          <w:tcPr>
            <w:tcW w:type="dxa" w:w="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0F6E56"/>
                <w:sz w:val="18"/>
                <w:szCs w:val="18"/>
              </w:rPr>
              <w:t xml:space="preserve">3</w:t>
            </w:r>
          </w:p>
        </w:tc>
        <w:tc>
          <w:tcPr>
            <w:tcW w:type="dxa" w:w="2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Directeur Financier</w:t>
            </w:r>
          </w:p>
        </w:tc>
        <w:tc>
          <w:tcPr>
            <w:tcW w:type="dxa" w:w="4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Vérifie la conformité de la facture (tarif, quantité, client). Approuve et signe. Si client interne (KAKO Sarl), valide avec le Comptable KAKO concerné.</w:t>
            </w:r>
          </w:p>
        </w:tc>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Facture approuvée</w:t>
            </w:r>
          </w:p>
        </w:tc>
      </w:tr>
      <w:tr>
        <w:tc>
          <w:tcPr>
            <w:tcW w:type="dxa" w:w="6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0F6E56"/>
                <w:sz w:val="18"/>
                <w:szCs w:val="18"/>
              </w:rPr>
              <w:t xml:space="preserve">4</w:t>
            </w:r>
          </w:p>
        </w:tc>
        <w:tc>
          <w:tcPr>
            <w:tcW w:type="dxa" w:w="20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Ass. Technique / Comptable KL</w:t>
            </w:r>
          </w:p>
        </w:tc>
        <w:tc>
          <w:tcPr>
            <w:tcW w:type="dxa" w:w="4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Émet la facture définitive via la plateforme DGI. Transmet la facture au client (par Teams, email ou remise physique).</w:t>
            </w:r>
          </w:p>
        </w:tc>
        <w:tc>
          <w:tcPr>
            <w:tcW w:type="dxa" w:w="2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Facture DGI émise</w:t>
            </w:r>
          </w:p>
        </w:tc>
      </w:tr>
      <w:tr>
        <w:tc>
          <w:tcPr>
            <w:tcW w:type="dxa" w:w="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0F6E56"/>
                <w:sz w:val="18"/>
                <w:szCs w:val="18"/>
              </w:rPr>
              <w:t xml:space="preserve">5</w:t>
            </w:r>
          </w:p>
        </w:tc>
        <w:tc>
          <w:tcPr>
            <w:tcW w:type="dxa" w:w="2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Comptable KL (F. Mutwale)</w:t>
            </w:r>
          </w:p>
        </w:tc>
        <w:tc>
          <w:tcPr>
            <w:tcW w:type="dxa" w:w="4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Enregistre la facture en comptabilité (débit client, crédit produit de transport). Met à jour le tableau de suivi des créances.</w:t>
            </w:r>
          </w:p>
        </w:tc>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Journal comptable — créance</w:t>
            </w:r>
          </w:p>
        </w:tc>
      </w:tr>
      <w:tr>
        <w:tc>
          <w:tcPr>
            <w:tcW w:type="dxa" w:w="6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0F6E56"/>
                <w:sz w:val="18"/>
                <w:szCs w:val="18"/>
              </w:rPr>
              <w:t xml:space="preserve">6</w:t>
            </w:r>
          </w:p>
        </w:tc>
        <w:tc>
          <w:tcPr>
            <w:tcW w:type="dxa" w:w="20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Comptable KL</w:t>
            </w:r>
          </w:p>
        </w:tc>
        <w:tc>
          <w:tcPr>
            <w:tcW w:type="dxa" w:w="4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Suit le paiement selon l'échéance convenue. Si non-paiement à l'échéance, déclenche PROC-KL-08 (suivi créances).</w:t>
            </w:r>
          </w:p>
        </w:tc>
        <w:tc>
          <w:tcPr>
            <w:tcW w:type="dxa" w:w="2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Voir PROC-KL-08</w:t>
            </w:r>
          </w:p>
        </w:tc>
      </w:tr>
    </w:tbl>
    <w:p>
      <w:pPr>
        <w:spacing w:after="8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5F5E5A"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3. Points de contrôle</w:t>
            </w:r>
          </w:p>
        </w:tc>
      </w:tr>
    </w:tbl>
    <w:p>
      <w:pPr>
        <w:spacing w:after="80" w:before="5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single" w:color="854F0B" w:sz="5"/>
              <w:left w:val="single" w:color="854F0B" w:sz="5"/>
              <w:bottom w:val="single" w:color="854F0B" w:sz="5"/>
              <w:right w:val="single" w:color="854F0B" w:sz="5"/>
            </w:tcBorders>
            <w:shd w:fill="FAEEDA"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854F0B"/>
                <w:sz w:val="20"/>
                <w:szCs w:val="20"/>
              </w:rPr>
              <w:t xml:space="preserve">!</w:t>
            </w:r>
          </w:p>
        </w:tc>
        <w:tc>
          <w:tcPr>
            <w:tcW w:type="dxa" w:w="8700"/>
            <w:tcBorders>
              <w:top w:val="single" w:color="854F0B" w:sz="5"/>
              <w:left w:val="nil" w:color="FFFFFF" w:sz="0"/>
              <w:bottom w:val="single" w:color="854F0B" w:sz="5"/>
              <w:right w:val="single" w:color="854F0B" w:sz="5"/>
            </w:tcBorders>
            <w:shd w:fill="FAEEDA"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iCs/>
                <w:color w:val="854F0B"/>
                <w:sz w:val="18"/>
                <w:szCs w:val="18"/>
              </w:rPr>
              <w:t xml:space="preserve">La facturation doit être émise dans les 48 heures suivant la clôture de la course. Toute facture émise au-delà de ce délai doit être signalée au Directeur Financier avec le motif du retard.</w:t>
            </w:r>
          </w:p>
        </w:tc>
      </w:tr>
    </w:tbl>
    <w:p>
      <w:pPr>
        <w:spacing w:after="80" w:before="80"/>
        <w:jc w:val="left"/>
      </w:pPr>
      <w:r>
        <w:rPr>
          <w:rFonts w:ascii="Arial" w:cs="Arial" w:eastAsia="Arial" w:hAnsi="Arial"/>
          <w:b w:val="false"/>
          <w:bCs w:val="false"/>
          <w:i w:val="false"/>
          <w:iCs w:val="false"/>
          <w:color w:val="2C2C2A"/>
          <w:sz w:val="20"/>
          <w:szCs w:val="20"/>
        </w:rPr>
        <w:t xml:space="preserve"/>
      </w:r>
    </w:p>
    <w:p>
      <w:pPr>
        <w:pBdr>
          <w:bottom w:val="single" w:color="D3D1C7" w:sz="6" w:space="1"/>
        </w:pBdr>
        <w:spacing w:after="40" w:before="40"/>
        <w:jc w:val="left"/>
      </w:pPr>
      <w:r>
        <w:rPr>
          <w:rFonts w:ascii="Arial" w:cs="Arial" w:eastAsia="Arial" w:hAnsi="Arial"/>
          <w:b w:val="false"/>
          <w:bCs w:val="false"/>
          <w:i w:val="false"/>
          <w:iCs w:val="false"/>
          <w:color w:val="2C2C2A"/>
          <w:sz w:val="20"/>
          <w:szCs w:val="20"/>
        </w:rPr>
        <w:t xml:space="preserve"/>
      </w:r>
    </w:p>
    <w:p>
      <w:pPr>
        <w:spacing w:after="80" w:before="0"/>
        <w:jc w:val="center"/>
      </w:pPr>
      <w:r>
        <w:rPr>
          <w:rFonts w:ascii="Arial" w:cs="Arial" w:eastAsia="Arial" w:hAnsi="Arial"/>
          <w:b w:val="false"/>
          <w:bCs w:val="false"/>
          <w:i/>
          <w:iCs/>
          <w:color w:val="5F5E5A"/>
          <w:sz w:val="15"/>
          <w:szCs w:val="15"/>
        </w:rPr>
        <w:t xml:space="preserve">PROC-KL-04   |   KAKO Logistique — Procédures Opérationnelles   |   Document interne confidentiel</w:t>
      </w:r>
    </w:p>
    <w:p>
      <w:pPr>
        <w:spacing w:after="80" w:before="0"/>
        <w:jc w:val="left"/>
      </w:pPr>
      <w:r>
        <w:br w:type="pag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3C3489" w:val="clear"/>
            <w:tcMar>
              <w:top w:type="dxa" w:w="80"/>
              <w:left w:type="dxa" w:w="150"/>
              <w:bottom w:type="dxa" w:w="80"/>
              <w:right w:type="dxa" w:w="150"/>
            </w:tcMar>
            <w:vAlign w:val="center"/>
          </w:tcPr>
          <w:p>
            <w:pPr>
              <w:spacing w:after="6" w:before="40"/>
              <w:jc w:val="center"/>
            </w:pPr>
            <w:r>
              <w:rPr>
                <w:rFonts w:ascii="Arial" w:cs="Arial" w:eastAsia="Arial" w:hAnsi="Arial"/>
                <w:b w:val="false"/>
                <w:bCs w:val="false"/>
                <w:i w:val="false"/>
                <w:iCs w:val="false"/>
                <w:color w:val="CECBF6"/>
                <w:sz w:val="16"/>
                <w:szCs w:val="16"/>
              </w:rPr>
              <w:t xml:space="preserve">KAKO Logistique — Procédures Opérationnelles</w:t>
            </w:r>
          </w:p>
          <w:p>
            <w:pPr>
              <w:spacing w:after="40" w:before="0"/>
              <w:jc w:val="center"/>
            </w:pPr>
            <w:r>
              <w:rPr>
                <w:rFonts w:ascii="Arial" w:cs="Arial" w:eastAsia="Arial" w:hAnsi="Arial"/>
                <w:b/>
                <w:bCs/>
                <w:i w:val="false"/>
                <w:iCs w:val="false"/>
                <w:color w:val="FFFFFF"/>
                <w:sz w:val="24"/>
                <w:szCs w:val="24"/>
              </w:rPr>
              <w:t xml:space="preserve">PROC-KL-05 — Entretien courant / réparation d'un camion</w:t>
            </w:r>
          </w:p>
        </w:tc>
      </w:tr>
      <w:tr>
        <w:tc>
          <w:tcPr>
            <w:tcW w:type="dxa" w:w="9000"/>
            <w:tcBorders>
              <w:top w:val="nil" w:color="FFFFFF" w:sz="0"/>
              <w:left w:val="nil" w:color="FFFFFF" w:sz="0"/>
              <w:bottom w:val="nil" w:color="FFFFFF" w:sz="0"/>
              <w:right w:val="nil" w:color="FFFFFF" w:sz="0"/>
            </w:tcBorders>
            <w:shd w:fill="854F0B" w:val="clear"/>
            <w:tcMar>
              <w:top w:type="dxa" w:w="80"/>
              <w:left w:type="dxa" w:w="150"/>
              <w:bottom w:type="dxa" w:w="80"/>
              <w:right w:type="dxa" w:w="150"/>
            </w:tcMar>
            <w:vAlign w:val="center"/>
          </w:tcPr>
          <w:p>
            <w:pPr>
              <w:spacing w:after="50" w:before="50"/>
              <w:jc w:val="center"/>
            </w:pPr>
            <w:r>
              <w:rPr>
                <w:rFonts w:ascii="Arial" w:cs="Arial" w:eastAsia="Arial" w:hAnsi="Arial"/>
                <w:b w:val="false"/>
                <w:bCs w:val="false"/>
                <w:i w:val="false"/>
                <w:iCs w:val="false"/>
                <w:color w:val="FFFFFF"/>
                <w:sz w:val="17"/>
                <w:szCs w:val="17"/>
              </w:rPr>
              <w:t xml:space="preserve">Catégorie : Maintenance de la flotte   |   Fréquence : Sur besoin</w:t>
            </w:r>
          </w:p>
        </w:tc>
      </w:tr>
    </w:tbl>
    <w:p>
      <w:pPr>
        <w:spacing w:after="8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3C3489"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18"/>
                <w:szCs w:val="18"/>
              </w:rPr>
              <w:t xml:space="preserve">Circuit de base — système d'avances à justifier</w:t>
            </w:r>
          </w:p>
        </w:tc>
      </w:tr>
    </w:tbl>
    <w:p>
      <w:pPr>
        <w:spacing w:after="80" w:before="4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c>
          <w:tcPr>
            <w:tcW w:type="dxa" w:w="1500"/>
            <w:tcBorders>
              <w:top w:val="single" w:color="3C3489" w:sz="3"/>
              <w:left w:val="single" w:color="3C3489" w:sz="3"/>
              <w:bottom w:val="single" w:color="3C3489" w:sz="3"/>
              <w:right w:val="single" w:color="3C3489" w:sz="3"/>
            </w:tcBorders>
            <w:shd w:fill="EEEDFE" w:val="clear"/>
            <w:tcMar>
              <w:top w:type="dxa" w:w="80"/>
              <w:left w:type="dxa" w:w="150"/>
              <w:bottom w:type="dxa" w:w="80"/>
              <w:right w:type="dxa" w:w="150"/>
            </w:tcMar>
            <w:vAlign w:val="center"/>
          </w:tcPr>
          <w:p>
            <w:pPr>
              <w:spacing w:after="50" w:before="50"/>
              <w:jc w:val="center"/>
            </w:pPr>
            <w:r>
              <w:rPr>
                <w:rFonts w:ascii="Arial" w:cs="Arial" w:eastAsia="Arial" w:hAnsi="Arial"/>
                <w:b/>
                <w:bCs/>
                <w:i w:val="false"/>
                <w:iCs w:val="false"/>
                <w:color w:val="3C3489"/>
                <w:sz w:val="16"/>
                <w:szCs w:val="16"/>
              </w:rPr>
              <w:t xml:space="preserve">Réquisition</w:t>
            </w:r>
          </w:p>
        </w:tc>
        <w:tc>
          <w:tcPr>
            <w:tcW w:type="dxa" w:w="1500"/>
            <w:tcBorders>
              <w:top w:val="single" w:color="0F6E56" w:sz="3"/>
              <w:left w:val="single" w:color="0F6E56" w:sz="3"/>
              <w:bottom w:val="single" w:color="0F6E56" w:sz="3"/>
              <w:right w:val="single" w:color="0F6E56" w:sz="3"/>
            </w:tcBorders>
            <w:shd w:fill="E1F5EE" w:val="clear"/>
            <w:tcMar>
              <w:top w:type="dxa" w:w="80"/>
              <w:left w:type="dxa" w:w="150"/>
              <w:bottom w:type="dxa" w:w="80"/>
              <w:right w:type="dxa" w:w="150"/>
            </w:tcMar>
            <w:vAlign w:val="center"/>
          </w:tcPr>
          <w:p>
            <w:pPr>
              <w:spacing w:after="50" w:before="50"/>
              <w:jc w:val="center"/>
            </w:pPr>
            <w:r>
              <w:rPr>
                <w:rFonts w:ascii="Arial" w:cs="Arial" w:eastAsia="Arial" w:hAnsi="Arial"/>
                <w:b/>
                <w:bCs/>
                <w:i w:val="false"/>
                <w:iCs w:val="false"/>
                <w:color w:val="0F6E56"/>
                <w:sz w:val="16"/>
                <w:szCs w:val="16"/>
              </w:rPr>
              <w:t xml:space="preserve">Validation DF</w:t>
            </w:r>
          </w:p>
        </w:tc>
        <w:tc>
          <w:tcPr>
            <w:tcW w:type="dxa" w:w="1500"/>
            <w:tcBorders>
              <w:top w:val="single" w:color="854F0B" w:sz="3"/>
              <w:left w:val="single" w:color="854F0B" w:sz="3"/>
              <w:bottom w:val="single" w:color="854F0B" w:sz="3"/>
              <w:right w:val="single" w:color="854F0B" w:sz="3"/>
            </w:tcBorders>
            <w:shd w:fill="FAEEDA" w:val="clear"/>
            <w:tcMar>
              <w:top w:type="dxa" w:w="80"/>
              <w:left w:type="dxa" w:w="150"/>
              <w:bottom w:type="dxa" w:w="80"/>
              <w:right w:type="dxa" w:w="150"/>
            </w:tcMar>
            <w:vAlign w:val="center"/>
          </w:tcPr>
          <w:p>
            <w:pPr>
              <w:spacing w:after="50" w:before="50"/>
              <w:jc w:val="center"/>
            </w:pPr>
            <w:r>
              <w:rPr>
                <w:rFonts w:ascii="Arial" w:cs="Arial" w:eastAsia="Arial" w:hAnsi="Arial"/>
                <w:b/>
                <w:bCs/>
                <w:i w:val="false"/>
                <w:iCs w:val="false"/>
                <w:color w:val="854F0B"/>
                <w:sz w:val="16"/>
                <w:szCs w:val="16"/>
              </w:rPr>
              <w:t xml:space="preserve">Sortie de fonds</w:t>
            </w:r>
          </w:p>
        </w:tc>
        <w:tc>
          <w:tcPr>
            <w:tcW w:type="dxa" w:w="1500"/>
            <w:tcBorders>
              <w:top w:val="single" w:color="5F5E5A" w:sz="3"/>
              <w:left w:val="single" w:color="5F5E5A" w:sz="3"/>
              <w:bottom w:val="single" w:color="5F5E5A" w:sz="3"/>
              <w:right w:val="single" w:color="5F5E5A" w:sz="3"/>
            </w:tcBorders>
            <w:shd w:fill="F1EFE8" w:val="clear"/>
            <w:tcMar>
              <w:top w:type="dxa" w:w="80"/>
              <w:left w:type="dxa" w:w="150"/>
              <w:bottom w:type="dxa" w:w="80"/>
              <w:right w:type="dxa" w:w="150"/>
            </w:tcMar>
            <w:vAlign w:val="center"/>
          </w:tcPr>
          <w:p>
            <w:pPr>
              <w:spacing w:after="50" w:before="50"/>
              <w:jc w:val="center"/>
            </w:pPr>
            <w:r>
              <w:rPr>
                <w:rFonts w:ascii="Arial" w:cs="Arial" w:eastAsia="Arial" w:hAnsi="Arial"/>
                <w:b/>
                <w:bCs/>
                <w:i w:val="false"/>
                <w:iCs w:val="false"/>
                <w:color w:val="5F5E5A"/>
                <w:sz w:val="16"/>
                <w:szCs w:val="16"/>
              </w:rPr>
              <w:t xml:space="preserve">Exécution</w:t>
            </w:r>
          </w:p>
        </w:tc>
        <w:tc>
          <w:tcPr>
            <w:tcW w:type="dxa" w:w="1500"/>
            <w:tcBorders>
              <w:top w:val="single" w:color="993C1D" w:sz="3"/>
              <w:left w:val="single" w:color="993C1D" w:sz="3"/>
              <w:bottom w:val="single" w:color="993C1D" w:sz="3"/>
              <w:right w:val="single" w:color="993C1D" w:sz="3"/>
            </w:tcBorders>
            <w:shd w:fill="FAECE7" w:val="clear"/>
            <w:tcMar>
              <w:top w:type="dxa" w:w="80"/>
              <w:left w:type="dxa" w:w="150"/>
              <w:bottom w:type="dxa" w:w="80"/>
              <w:right w:type="dxa" w:w="150"/>
            </w:tcMar>
            <w:vAlign w:val="center"/>
          </w:tcPr>
          <w:p>
            <w:pPr>
              <w:spacing w:after="50" w:before="50"/>
              <w:jc w:val="center"/>
            </w:pPr>
            <w:r>
              <w:rPr>
                <w:rFonts w:ascii="Arial" w:cs="Arial" w:eastAsia="Arial" w:hAnsi="Arial"/>
                <w:b/>
                <w:bCs/>
                <w:i w:val="false"/>
                <w:iCs w:val="false"/>
                <w:color w:val="993C1D"/>
                <w:sz w:val="16"/>
                <w:szCs w:val="16"/>
              </w:rPr>
              <w:t xml:space="preserve">Justification</w:t>
            </w:r>
          </w:p>
        </w:tc>
        <w:tc>
          <w:tcPr>
            <w:tcW w:type="dxa" w:w="1500"/>
            <w:tcBorders>
              <w:top w:val="single" w:color="3C3489" w:sz="3"/>
              <w:left w:val="single" w:color="3C3489" w:sz="3"/>
              <w:bottom w:val="single" w:color="3C3489" w:sz="3"/>
              <w:right w:val="single" w:color="3C3489" w:sz="3"/>
            </w:tcBorders>
            <w:shd w:fill="EEEDFE" w:val="clear"/>
            <w:tcMar>
              <w:top w:type="dxa" w:w="80"/>
              <w:left w:type="dxa" w:w="150"/>
              <w:bottom w:type="dxa" w:w="80"/>
              <w:right w:type="dxa" w:w="150"/>
            </w:tcMar>
            <w:vAlign w:val="center"/>
          </w:tcPr>
          <w:p>
            <w:pPr>
              <w:spacing w:after="50" w:before="50"/>
              <w:jc w:val="center"/>
            </w:pPr>
            <w:r>
              <w:rPr>
                <w:rFonts w:ascii="Arial" w:cs="Arial" w:eastAsia="Arial" w:hAnsi="Arial"/>
                <w:b/>
                <w:bCs/>
                <w:i w:val="false"/>
                <w:iCs w:val="false"/>
                <w:color w:val="3C3489"/>
                <w:sz w:val="16"/>
                <w:szCs w:val="16"/>
              </w:rPr>
              <w:t xml:space="preserve">Comptabilisation</w:t>
            </w:r>
          </w:p>
        </w:tc>
      </w:tr>
    </w:tbl>
    <w:p>
      <w:pPr>
        <w:spacing w:after="80" w:before="12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854F0B"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1. Objet</w:t>
            </w:r>
          </w:p>
        </w:tc>
      </w:tr>
    </w:tbl>
    <w:p>
      <w:pPr>
        <w:spacing w:after="80" w:before="50"/>
        <w:jc w:val="left"/>
      </w:pPr>
      <w:r>
        <w:rPr>
          <w:rFonts w:ascii="Arial" w:cs="Arial" w:eastAsia="Arial" w:hAnsi="Arial"/>
          <w:b w:val="false"/>
          <w:bCs w:val="false"/>
          <w:i w:val="false"/>
          <w:iCs w:val="false"/>
          <w:color w:val="2C2C2A"/>
          <w:sz w:val="20"/>
          <w:szCs w:val="20"/>
        </w:rPr>
        <w:t xml:space="preserve"/>
      </w:r>
    </w:p>
    <w:p>
      <w:pPr>
        <w:spacing w:after="80" w:before="0"/>
        <w:jc w:val="left"/>
      </w:pPr>
      <w:r>
        <w:rPr>
          <w:rFonts w:ascii="Arial" w:cs="Arial" w:eastAsia="Arial" w:hAnsi="Arial"/>
          <w:b w:val="false"/>
          <w:bCs w:val="false"/>
          <w:i w:val="false"/>
          <w:iCs w:val="false"/>
          <w:color w:val="2C2C2A"/>
          <w:sz w:val="20"/>
          <w:szCs w:val="20"/>
        </w:rPr>
        <w:t xml:space="preserve">Encadrer les dépenses d'entretien préventif et de réparation curative des camions de la flotte, depuis le diagnostic jusqu'à la remise en service et la justification des dépenses engagées.</w:t>
      </w:r>
    </w:p>
    <w:p>
      <w:pPr>
        <w:spacing w:after="8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854F0B"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2. Étapes de la procédure</w:t>
            </w:r>
          </w:p>
        </w:tc>
      </w:tr>
    </w:tbl>
    <w:p>
      <w:pPr>
        <w:spacing w:after="80" w:before="5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4200"/>
        <w:gridCol w:w="2200"/>
      </w:tblGrid>
      <w:tr>
        <w:tc>
          <w:tcPr>
            <w:tcW w:type="dxa" w:w="600"/>
            <w:tcBorders>
              <w:top w:val="single" w:color="854F0B" w:sz="4"/>
              <w:left w:val="single" w:color="854F0B" w:sz="4"/>
              <w:bottom w:val="single" w:color="854F0B" w:sz="4"/>
              <w:right w:val="single" w:color="854F0B" w:sz="4"/>
            </w:tcBorders>
            <w:shd w:fill="854F0B"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FFFFFF"/>
                <w:sz w:val="17"/>
                <w:szCs w:val="17"/>
              </w:rPr>
              <w:t xml:space="preserve">Étape</w:t>
            </w:r>
          </w:p>
        </w:tc>
        <w:tc>
          <w:tcPr>
            <w:tcW w:type="dxa" w:w="2000"/>
            <w:tcBorders>
              <w:top w:val="single" w:color="854F0B" w:sz="4"/>
              <w:left w:val="single" w:color="854F0B" w:sz="4"/>
              <w:bottom w:val="single" w:color="854F0B" w:sz="4"/>
              <w:right w:val="single" w:color="854F0B" w:sz="4"/>
            </w:tcBorders>
            <w:shd w:fill="854F0B"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FFFFFF"/>
                <w:sz w:val="17"/>
                <w:szCs w:val="17"/>
              </w:rPr>
              <w:t xml:space="preserve">Acteur</w:t>
            </w:r>
          </w:p>
        </w:tc>
        <w:tc>
          <w:tcPr>
            <w:tcW w:type="dxa" w:w="4200"/>
            <w:tcBorders>
              <w:top w:val="single" w:color="854F0B" w:sz="4"/>
              <w:left w:val="single" w:color="854F0B" w:sz="4"/>
              <w:bottom w:val="single" w:color="854F0B" w:sz="4"/>
              <w:right w:val="single" w:color="854F0B" w:sz="4"/>
            </w:tcBorders>
            <w:shd w:fill="854F0B" w:val="clear"/>
            <w:tcMar>
              <w:top w:type="dxa" w:w="80"/>
              <w:left w:type="dxa" w:w="150"/>
              <w:bottom w:type="dxa" w:w="80"/>
              <w:right w:type="dxa" w:w="150"/>
            </w:tcMar>
            <w:vAlign w:val="center"/>
          </w:tcPr>
          <w:p>
            <w:pPr>
              <w:spacing w:after="80" w:before="0"/>
              <w:jc w:val="left"/>
            </w:pPr>
            <w:r>
              <w:rPr>
                <w:rFonts w:ascii="Arial" w:cs="Arial" w:eastAsia="Arial" w:hAnsi="Arial"/>
                <w:b/>
                <w:bCs/>
                <w:i w:val="false"/>
                <w:iCs w:val="false"/>
                <w:color w:val="FFFFFF"/>
                <w:sz w:val="17"/>
                <w:szCs w:val="17"/>
              </w:rPr>
              <w:t xml:space="preserve">Action à réaliser</w:t>
            </w:r>
          </w:p>
        </w:tc>
        <w:tc>
          <w:tcPr>
            <w:tcW w:type="dxa" w:w="2200"/>
            <w:tcBorders>
              <w:top w:val="single" w:color="854F0B" w:sz="4"/>
              <w:left w:val="single" w:color="854F0B" w:sz="4"/>
              <w:bottom w:val="single" w:color="854F0B" w:sz="4"/>
              <w:right w:val="single" w:color="854F0B" w:sz="4"/>
            </w:tcBorders>
            <w:shd w:fill="854F0B" w:val="clear"/>
            <w:tcMar>
              <w:top w:type="dxa" w:w="80"/>
              <w:left w:type="dxa" w:w="150"/>
              <w:bottom w:type="dxa" w:w="80"/>
              <w:right w:type="dxa" w:w="150"/>
            </w:tcMar>
            <w:vAlign w:val="center"/>
          </w:tcPr>
          <w:p>
            <w:pPr>
              <w:spacing w:after="80" w:before="0"/>
              <w:jc w:val="left"/>
            </w:pPr>
            <w:r>
              <w:rPr>
                <w:rFonts w:ascii="Arial" w:cs="Arial" w:eastAsia="Arial" w:hAnsi="Arial"/>
                <w:b/>
                <w:bCs/>
                <w:i w:val="false"/>
                <w:iCs w:val="false"/>
                <w:color w:val="FFFFFF"/>
                <w:sz w:val="17"/>
                <w:szCs w:val="17"/>
              </w:rPr>
              <w:t xml:space="preserve">Document produit / requis</w:t>
            </w:r>
          </w:p>
        </w:tc>
      </w:tr>
      <w:tr>
        <w:tc>
          <w:tcPr>
            <w:tcW w:type="dxa" w:w="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854F0B"/>
                <w:sz w:val="18"/>
                <w:szCs w:val="18"/>
              </w:rPr>
              <w:t xml:space="preserve">1</w:t>
            </w:r>
          </w:p>
        </w:tc>
        <w:tc>
          <w:tcPr>
            <w:tcW w:type="dxa" w:w="2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Chauffeur / Dispatcher</w:t>
            </w:r>
          </w:p>
        </w:tc>
        <w:tc>
          <w:tcPr>
            <w:tcW w:type="dxa" w:w="4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Signale le besoin d'entretien ou la panne au Directeur Technique (DT) et à l'Ass. Technique. Décrit le problème constaté.</w:t>
            </w:r>
          </w:p>
        </w:tc>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Fiche de signalement panne</w:t>
            </w:r>
          </w:p>
        </w:tc>
      </w:tr>
      <w:tr>
        <w:tc>
          <w:tcPr>
            <w:tcW w:type="dxa" w:w="6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854F0B"/>
                <w:sz w:val="18"/>
                <w:szCs w:val="18"/>
              </w:rPr>
              <w:t xml:space="preserve">2</w:t>
            </w:r>
          </w:p>
        </w:tc>
        <w:tc>
          <w:tcPr>
            <w:tcW w:type="dxa" w:w="20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DT du groupe / Ass. Technique</w:t>
            </w:r>
          </w:p>
        </w:tc>
        <w:tc>
          <w:tcPr>
            <w:tcW w:type="dxa" w:w="4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Évalue la nature et l'urgence de l'intervention. Identifie le prestataire (mécanicien agréé ou atelier) et estime le coût des réparations.</w:t>
            </w:r>
          </w:p>
        </w:tc>
        <w:tc>
          <w:tcPr>
            <w:tcW w:type="dxa" w:w="2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Devis / estimation de coût</w:t>
            </w:r>
          </w:p>
        </w:tc>
      </w:tr>
      <w:tr>
        <w:tc>
          <w:tcPr>
            <w:tcW w:type="dxa" w:w="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854F0B"/>
                <w:sz w:val="18"/>
                <w:szCs w:val="18"/>
              </w:rPr>
              <w:t xml:space="preserve">3</w:t>
            </w:r>
          </w:p>
        </w:tc>
        <w:tc>
          <w:tcPr>
            <w:tcW w:type="dxa" w:w="2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Ass. Technique</w:t>
            </w:r>
          </w:p>
        </w:tc>
        <w:tc>
          <w:tcPr>
            <w:tcW w:type="dxa" w:w="4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Prépare la Réquisition de fonds pour l'entretien / réparation, sur base de l'estimation du DT. Soumet au Directeur Financier.</w:t>
            </w:r>
          </w:p>
        </w:tc>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Réquisition de fonds</w:t>
            </w:r>
          </w:p>
        </w:tc>
      </w:tr>
      <w:tr>
        <w:tc>
          <w:tcPr>
            <w:tcW w:type="dxa" w:w="6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854F0B"/>
                <w:sz w:val="18"/>
                <w:szCs w:val="18"/>
              </w:rPr>
              <w:t xml:space="preserve">4</w:t>
            </w:r>
          </w:p>
        </w:tc>
        <w:tc>
          <w:tcPr>
            <w:tcW w:type="dxa" w:w="20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Directeur Financier</w:t>
            </w:r>
          </w:p>
        </w:tc>
        <w:tc>
          <w:tcPr>
            <w:tcW w:type="dxa" w:w="4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Vérifie la cohérence du montant avec le budget maintenance. Approuve et signe. Pour toute réparation dépassant [seuil à définir], soumet à la Direction Générale.</w:t>
            </w:r>
          </w:p>
        </w:tc>
        <w:tc>
          <w:tcPr>
            <w:tcW w:type="dxa" w:w="2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Réquisition signée</w:t>
            </w:r>
          </w:p>
        </w:tc>
      </w:tr>
      <w:tr>
        <w:tc>
          <w:tcPr>
            <w:tcW w:type="dxa" w:w="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854F0B"/>
                <w:sz w:val="18"/>
                <w:szCs w:val="18"/>
              </w:rPr>
              <w:t xml:space="preserve">5</w:t>
            </w:r>
          </w:p>
        </w:tc>
        <w:tc>
          <w:tcPr>
            <w:tcW w:type="dxa" w:w="2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Caissière (Likasi)</w:t>
            </w:r>
          </w:p>
        </w:tc>
        <w:tc>
          <w:tcPr>
            <w:tcW w:type="dxa" w:w="4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Décaisse le montant approuvé sur présentation de la Réquisition signée. Enregistre en journal de caisse KAKO Logistique.</w:t>
            </w:r>
          </w:p>
        </w:tc>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Journal de caisse — sortie</w:t>
            </w:r>
          </w:p>
        </w:tc>
      </w:tr>
      <w:tr>
        <w:tc>
          <w:tcPr>
            <w:tcW w:type="dxa" w:w="6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854F0B"/>
                <w:sz w:val="18"/>
                <w:szCs w:val="18"/>
              </w:rPr>
              <w:t xml:space="preserve">6</w:t>
            </w:r>
          </w:p>
        </w:tc>
        <w:tc>
          <w:tcPr>
            <w:tcW w:type="dxa" w:w="20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DT / Ass. Technique</w:t>
            </w:r>
          </w:p>
        </w:tc>
        <w:tc>
          <w:tcPr>
            <w:tcW w:type="dxa" w:w="4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Supervise l'exécution des travaux. Réceptionne le camion après réparation. Signe le bon de réception des travaux avec le prestataire.</w:t>
            </w:r>
          </w:p>
        </w:tc>
        <w:tc>
          <w:tcPr>
            <w:tcW w:type="dxa" w:w="2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Bon de réception travaux</w:t>
            </w:r>
          </w:p>
        </w:tc>
      </w:tr>
      <w:tr>
        <w:tc>
          <w:tcPr>
            <w:tcW w:type="dxa" w:w="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854F0B"/>
                <w:sz w:val="18"/>
                <w:szCs w:val="18"/>
              </w:rPr>
              <w:t xml:space="preserve">7</w:t>
            </w:r>
          </w:p>
        </w:tc>
        <w:tc>
          <w:tcPr>
            <w:tcW w:type="dxa" w:w="2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Ass. Technique</w:t>
            </w:r>
          </w:p>
        </w:tc>
        <w:tc>
          <w:tcPr>
            <w:tcW w:type="dxa" w:w="4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Collecte tous les justificatifs (facture prestataire, reçus pièces). Remet le solde non utilisé à la Caissière. Déclenche PROC-KL-07.</w:t>
            </w:r>
          </w:p>
        </w:tc>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Voir PROC-KL-07</w:t>
            </w:r>
          </w:p>
        </w:tc>
      </w:tr>
      <w:tr>
        <w:tc>
          <w:tcPr>
            <w:tcW w:type="dxa" w:w="6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854F0B"/>
                <w:sz w:val="18"/>
                <w:szCs w:val="18"/>
              </w:rPr>
              <w:t xml:space="preserve">8</w:t>
            </w:r>
          </w:p>
        </w:tc>
        <w:tc>
          <w:tcPr>
            <w:tcW w:type="dxa" w:w="20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Ass. Technique</w:t>
            </w:r>
          </w:p>
        </w:tc>
        <w:tc>
          <w:tcPr>
            <w:tcW w:type="dxa" w:w="4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Met à jour la fiche technique du camion (historique des entretiens). Informe le Dispatcher de la remise en service.</w:t>
            </w:r>
          </w:p>
        </w:tc>
        <w:tc>
          <w:tcPr>
            <w:tcW w:type="dxa" w:w="2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Fiche technique camion</w:t>
            </w:r>
          </w:p>
        </w:tc>
      </w:tr>
    </w:tbl>
    <w:p>
      <w:pPr>
        <w:spacing w:after="8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5F5E5A"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3. Points de contrôle</w:t>
            </w:r>
          </w:p>
        </w:tc>
      </w:tr>
    </w:tbl>
    <w:p>
      <w:pPr>
        <w:spacing w:after="80" w:before="5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single" w:color="854F0B" w:sz="5"/>
              <w:left w:val="single" w:color="854F0B" w:sz="5"/>
              <w:bottom w:val="single" w:color="854F0B" w:sz="5"/>
              <w:right w:val="single" w:color="854F0B" w:sz="5"/>
            </w:tcBorders>
            <w:shd w:fill="FAEEDA"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854F0B"/>
                <w:sz w:val="20"/>
                <w:szCs w:val="20"/>
              </w:rPr>
              <w:t xml:space="preserve">!</w:t>
            </w:r>
          </w:p>
        </w:tc>
        <w:tc>
          <w:tcPr>
            <w:tcW w:type="dxa" w:w="8700"/>
            <w:tcBorders>
              <w:top w:val="single" w:color="854F0B" w:sz="5"/>
              <w:left w:val="nil" w:color="FFFFFF" w:sz="0"/>
              <w:bottom w:val="single" w:color="854F0B" w:sz="5"/>
              <w:right w:val="single" w:color="854F0B" w:sz="5"/>
            </w:tcBorders>
            <w:shd w:fill="FAEEDA"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iCs/>
                <w:color w:val="854F0B"/>
                <w:sz w:val="18"/>
                <w:szCs w:val="18"/>
              </w:rPr>
              <w:t xml:space="preserve">Aucune réparation ne doit être engagée sans Réquisition approuvée par le DF, y compris pour les urgences. En cas d'urgence sur route, le chauffeur contacte l'Ass. Technique qui contacte le DF pour approbation verbale immédiate, suivie d'une régularisation écrite dans les 24h.</w:t>
            </w:r>
          </w:p>
        </w:tc>
      </w:tr>
    </w:tbl>
    <w:p>
      <w:pPr>
        <w:spacing w:after="80" w:before="80"/>
        <w:jc w:val="left"/>
      </w:pPr>
      <w:r>
        <w:rPr>
          <w:rFonts w:ascii="Arial" w:cs="Arial" w:eastAsia="Arial" w:hAnsi="Arial"/>
          <w:b w:val="false"/>
          <w:bCs w:val="false"/>
          <w:i w:val="false"/>
          <w:iCs w:val="false"/>
          <w:color w:val="2C2C2A"/>
          <w:sz w:val="20"/>
          <w:szCs w:val="20"/>
        </w:rPr>
        <w:t xml:space="preserve"/>
      </w:r>
    </w:p>
    <w:p>
      <w:pPr>
        <w:pBdr>
          <w:bottom w:val="single" w:color="D3D1C7" w:sz="6" w:space="1"/>
        </w:pBdr>
        <w:spacing w:after="40" w:before="40"/>
        <w:jc w:val="left"/>
      </w:pPr>
      <w:r>
        <w:rPr>
          <w:rFonts w:ascii="Arial" w:cs="Arial" w:eastAsia="Arial" w:hAnsi="Arial"/>
          <w:b w:val="false"/>
          <w:bCs w:val="false"/>
          <w:i w:val="false"/>
          <w:iCs w:val="false"/>
          <w:color w:val="2C2C2A"/>
          <w:sz w:val="20"/>
          <w:szCs w:val="20"/>
        </w:rPr>
        <w:t xml:space="preserve"/>
      </w:r>
    </w:p>
    <w:p>
      <w:pPr>
        <w:spacing w:after="80" w:before="0"/>
        <w:jc w:val="center"/>
      </w:pPr>
      <w:r>
        <w:rPr>
          <w:rFonts w:ascii="Arial" w:cs="Arial" w:eastAsia="Arial" w:hAnsi="Arial"/>
          <w:b w:val="false"/>
          <w:bCs w:val="false"/>
          <w:i/>
          <w:iCs/>
          <w:color w:val="5F5E5A"/>
          <w:sz w:val="15"/>
          <w:szCs w:val="15"/>
        </w:rPr>
        <w:t xml:space="preserve">PROC-KL-05   |   KAKO Logistique — Procédures Opérationnelles   |   Document interne confidentiel</w:t>
      </w:r>
    </w:p>
    <w:p>
      <w:pPr>
        <w:spacing w:after="80" w:before="0"/>
        <w:jc w:val="left"/>
      </w:pPr>
      <w:r>
        <w:br w:type="pag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3C3489" w:val="clear"/>
            <w:tcMar>
              <w:top w:type="dxa" w:w="80"/>
              <w:left w:type="dxa" w:w="150"/>
              <w:bottom w:type="dxa" w:w="80"/>
              <w:right w:type="dxa" w:w="150"/>
            </w:tcMar>
            <w:vAlign w:val="center"/>
          </w:tcPr>
          <w:p>
            <w:pPr>
              <w:spacing w:after="6" w:before="40"/>
              <w:jc w:val="center"/>
            </w:pPr>
            <w:r>
              <w:rPr>
                <w:rFonts w:ascii="Arial" w:cs="Arial" w:eastAsia="Arial" w:hAnsi="Arial"/>
                <w:b w:val="false"/>
                <w:bCs w:val="false"/>
                <w:i w:val="false"/>
                <w:iCs w:val="false"/>
                <w:color w:val="CECBF6"/>
                <w:sz w:val="16"/>
                <w:szCs w:val="16"/>
              </w:rPr>
              <w:t xml:space="preserve">KAKO Logistique — Procédures Opérationnelles</w:t>
            </w:r>
          </w:p>
          <w:p>
            <w:pPr>
              <w:spacing w:after="40" w:before="0"/>
              <w:jc w:val="center"/>
            </w:pPr>
            <w:r>
              <w:rPr>
                <w:rFonts w:ascii="Arial" w:cs="Arial" w:eastAsia="Arial" w:hAnsi="Arial"/>
                <w:b/>
                <w:bCs/>
                <w:i w:val="false"/>
                <w:iCs w:val="false"/>
                <w:color w:val="FFFFFF"/>
                <w:sz w:val="24"/>
                <w:szCs w:val="24"/>
              </w:rPr>
              <w:t xml:space="preserve">PROC-KL-06 — Immobilisation &amp; remise en service d'un camion</w:t>
            </w:r>
          </w:p>
        </w:tc>
      </w:tr>
      <w:tr>
        <w:tc>
          <w:tcPr>
            <w:tcW w:type="dxa" w:w="9000"/>
            <w:tcBorders>
              <w:top w:val="nil" w:color="FFFFFF" w:sz="0"/>
              <w:left w:val="nil" w:color="FFFFFF" w:sz="0"/>
              <w:bottom w:val="nil" w:color="FFFFFF" w:sz="0"/>
              <w:right w:val="nil" w:color="FFFFFF" w:sz="0"/>
            </w:tcBorders>
            <w:shd w:fill="854F0B" w:val="clear"/>
            <w:tcMar>
              <w:top w:type="dxa" w:w="80"/>
              <w:left w:type="dxa" w:w="150"/>
              <w:bottom w:type="dxa" w:w="80"/>
              <w:right w:type="dxa" w:w="150"/>
            </w:tcMar>
            <w:vAlign w:val="center"/>
          </w:tcPr>
          <w:p>
            <w:pPr>
              <w:spacing w:after="50" w:before="50"/>
              <w:jc w:val="center"/>
            </w:pPr>
            <w:r>
              <w:rPr>
                <w:rFonts w:ascii="Arial" w:cs="Arial" w:eastAsia="Arial" w:hAnsi="Arial"/>
                <w:b w:val="false"/>
                <w:bCs w:val="false"/>
                <w:i w:val="false"/>
                <w:iCs w:val="false"/>
                <w:color w:val="FFFFFF"/>
                <w:sz w:val="17"/>
                <w:szCs w:val="17"/>
              </w:rPr>
              <w:t xml:space="preserve">Catégorie : Maintenance de la flotte   |   Fréquence : Sur besoin</w:t>
            </w:r>
          </w:p>
        </w:tc>
      </w:tr>
    </w:tbl>
    <w:p>
      <w:pPr>
        <w:spacing w:after="8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854F0B"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1. Objet</w:t>
            </w:r>
          </w:p>
        </w:tc>
      </w:tr>
    </w:tbl>
    <w:p>
      <w:pPr>
        <w:spacing w:after="80" w:before="50"/>
        <w:jc w:val="left"/>
      </w:pPr>
      <w:r>
        <w:rPr>
          <w:rFonts w:ascii="Arial" w:cs="Arial" w:eastAsia="Arial" w:hAnsi="Arial"/>
          <w:b w:val="false"/>
          <w:bCs w:val="false"/>
          <w:i w:val="false"/>
          <w:iCs w:val="false"/>
          <w:color w:val="2C2C2A"/>
          <w:sz w:val="20"/>
          <w:szCs w:val="20"/>
        </w:rPr>
        <w:t xml:space="preserve"/>
      </w:r>
    </w:p>
    <w:p>
      <w:pPr>
        <w:spacing w:after="80" w:before="0"/>
        <w:jc w:val="left"/>
      </w:pPr>
      <w:r>
        <w:rPr>
          <w:rFonts w:ascii="Arial" w:cs="Arial" w:eastAsia="Arial" w:hAnsi="Arial"/>
          <w:b w:val="false"/>
          <w:bCs w:val="false"/>
          <w:i w:val="false"/>
          <w:iCs w:val="false"/>
          <w:color w:val="2C2C2A"/>
          <w:sz w:val="20"/>
          <w:szCs w:val="20"/>
        </w:rPr>
        <w:t xml:space="preserve">Définir la procédure de mise hors service temporaire d'un camion (immobilisation) et les conditions de sa remise en service, afin de garantir la traçabilité de l'état de la flotte et d'éviter l'affectation d'un camion non opérationnel à une course.</w:t>
      </w:r>
    </w:p>
    <w:p>
      <w:pPr>
        <w:spacing w:after="8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854F0B"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2. Causes d'immobilisation</w:t>
            </w:r>
          </w:p>
        </w:tc>
      </w:tr>
    </w:tbl>
    <w:p>
      <w:pPr>
        <w:spacing w:after="80" w:before="50"/>
        <w:jc w:val="left"/>
      </w:pPr>
      <w:r>
        <w:rPr>
          <w:rFonts w:ascii="Arial" w:cs="Arial" w:eastAsia="Arial" w:hAnsi="Arial"/>
          <w:b w:val="false"/>
          <w:bCs w:val="false"/>
          <w:i w:val="false"/>
          <w:iCs w:val="false"/>
          <w:color w:val="2C2C2A"/>
          <w:sz w:val="20"/>
          <w:szCs w:val="20"/>
        </w:rPr>
        <w:t xml:space="preserve"/>
      </w:r>
    </w:p>
    <w:p>
      <w:pPr>
        <w:pStyle w:val="ListParagraph"/>
        <w:numPr>
          <w:ilvl w:val="0"/>
          <w:numId w:val="2"/>
        </w:numPr>
        <w:spacing w:after="60" w:before="0"/>
        <w:jc w:val="left"/>
      </w:pPr>
      <w:r>
        <w:rPr>
          <w:rFonts w:ascii="Arial" w:cs="Arial" w:eastAsia="Arial" w:hAnsi="Arial"/>
          <w:b w:val="false"/>
          <w:bCs w:val="false"/>
          <w:i w:val="false"/>
          <w:iCs w:val="false"/>
          <w:color w:val="2C2C2A"/>
          <w:sz w:val="20"/>
          <w:szCs w:val="20"/>
        </w:rPr>
        <w:t xml:space="preserve">Panne mécanique en attente de réparation (voir PROC-KL-05)</w:t>
      </w:r>
    </w:p>
    <w:p>
      <w:pPr>
        <w:pStyle w:val="ListParagraph"/>
        <w:numPr>
          <w:ilvl w:val="0"/>
          <w:numId w:val="2"/>
        </w:numPr>
        <w:spacing w:after="60" w:before="0"/>
        <w:jc w:val="left"/>
      </w:pPr>
      <w:r>
        <w:rPr>
          <w:rFonts w:ascii="Arial" w:cs="Arial" w:eastAsia="Arial" w:hAnsi="Arial"/>
          <w:b w:val="false"/>
          <w:bCs w:val="false"/>
          <w:i w:val="false"/>
          <w:iCs w:val="false"/>
          <w:color w:val="2C2C2A"/>
          <w:sz w:val="20"/>
          <w:szCs w:val="20"/>
        </w:rPr>
        <w:t xml:space="preserve">Accident — camion en attente d'expertise ou de réparation</w:t>
      </w:r>
    </w:p>
    <w:p>
      <w:pPr>
        <w:pStyle w:val="ListParagraph"/>
        <w:numPr>
          <w:ilvl w:val="0"/>
          <w:numId w:val="2"/>
        </w:numPr>
        <w:spacing w:after="60" w:before="0"/>
        <w:jc w:val="left"/>
      </w:pPr>
      <w:r>
        <w:rPr>
          <w:rFonts w:ascii="Arial" w:cs="Arial" w:eastAsia="Arial" w:hAnsi="Arial"/>
          <w:b w:val="false"/>
          <w:bCs w:val="false"/>
          <w:i w:val="false"/>
          <w:iCs w:val="false"/>
          <w:color w:val="2C2C2A"/>
          <w:sz w:val="20"/>
          <w:szCs w:val="20"/>
        </w:rPr>
        <w:t xml:space="preserve">Contrôle technique ou visite obligatoire</w:t>
      </w:r>
    </w:p>
    <w:p>
      <w:pPr>
        <w:pStyle w:val="ListParagraph"/>
        <w:numPr>
          <w:ilvl w:val="0"/>
          <w:numId w:val="2"/>
        </w:numPr>
        <w:spacing w:after="60" w:before="0"/>
        <w:jc w:val="left"/>
      </w:pPr>
      <w:r>
        <w:rPr>
          <w:rFonts w:ascii="Arial" w:cs="Arial" w:eastAsia="Arial" w:hAnsi="Arial"/>
          <w:b w:val="false"/>
          <w:bCs w:val="false"/>
          <w:i w:val="false"/>
          <w:iCs w:val="false"/>
          <w:color w:val="2C2C2A"/>
          <w:sz w:val="20"/>
          <w:szCs w:val="20"/>
        </w:rPr>
        <w:t xml:space="preserve">Immobilisation volontaire pour entretien préventif planifié</w:t>
      </w:r>
    </w:p>
    <w:p>
      <w:pPr>
        <w:spacing w:after="8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854F0B"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3. Étapes — Immobilisation</w:t>
            </w:r>
          </w:p>
        </w:tc>
      </w:tr>
    </w:tbl>
    <w:p>
      <w:pPr>
        <w:spacing w:after="80" w:before="5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4200"/>
        <w:gridCol w:w="2200"/>
      </w:tblGrid>
      <w:tr>
        <w:tc>
          <w:tcPr>
            <w:tcW w:type="dxa" w:w="600"/>
            <w:tcBorders>
              <w:top w:val="single" w:color="854F0B" w:sz="4"/>
              <w:left w:val="single" w:color="854F0B" w:sz="4"/>
              <w:bottom w:val="single" w:color="854F0B" w:sz="4"/>
              <w:right w:val="single" w:color="854F0B" w:sz="4"/>
            </w:tcBorders>
            <w:shd w:fill="854F0B"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FFFFFF"/>
                <w:sz w:val="17"/>
                <w:szCs w:val="17"/>
              </w:rPr>
              <w:t xml:space="preserve">Étape</w:t>
            </w:r>
          </w:p>
        </w:tc>
        <w:tc>
          <w:tcPr>
            <w:tcW w:type="dxa" w:w="2000"/>
            <w:tcBorders>
              <w:top w:val="single" w:color="854F0B" w:sz="4"/>
              <w:left w:val="single" w:color="854F0B" w:sz="4"/>
              <w:bottom w:val="single" w:color="854F0B" w:sz="4"/>
              <w:right w:val="single" w:color="854F0B" w:sz="4"/>
            </w:tcBorders>
            <w:shd w:fill="854F0B"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FFFFFF"/>
                <w:sz w:val="17"/>
                <w:szCs w:val="17"/>
              </w:rPr>
              <w:t xml:space="preserve">Acteur</w:t>
            </w:r>
          </w:p>
        </w:tc>
        <w:tc>
          <w:tcPr>
            <w:tcW w:type="dxa" w:w="4200"/>
            <w:tcBorders>
              <w:top w:val="single" w:color="854F0B" w:sz="4"/>
              <w:left w:val="single" w:color="854F0B" w:sz="4"/>
              <w:bottom w:val="single" w:color="854F0B" w:sz="4"/>
              <w:right w:val="single" w:color="854F0B" w:sz="4"/>
            </w:tcBorders>
            <w:shd w:fill="854F0B" w:val="clear"/>
            <w:tcMar>
              <w:top w:type="dxa" w:w="80"/>
              <w:left w:type="dxa" w:w="150"/>
              <w:bottom w:type="dxa" w:w="80"/>
              <w:right w:type="dxa" w:w="150"/>
            </w:tcMar>
            <w:vAlign w:val="center"/>
          </w:tcPr>
          <w:p>
            <w:pPr>
              <w:spacing w:after="80" w:before="0"/>
              <w:jc w:val="left"/>
            </w:pPr>
            <w:r>
              <w:rPr>
                <w:rFonts w:ascii="Arial" w:cs="Arial" w:eastAsia="Arial" w:hAnsi="Arial"/>
                <w:b/>
                <w:bCs/>
                <w:i w:val="false"/>
                <w:iCs w:val="false"/>
                <w:color w:val="FFFFFF"/>
                <w:sz w:val="17"/>
                <w:szCs w:val="17"/>
              </w:rPr>
              <w:t xml:space="preserve">Action à réaliser</w:t>
            </w:r>
          </w:p>
        </w:tc>
        <w:tc>
          <w:tcPr>
            <w:tcW w:type="dxa" w:w="2200"/>
            <w:tcBorders>
              <w:top w:val="single" w:color="854F0B" w:sz="4"/>
              <w:left w:val="single" w:color="854F0B" w:sz="4"/>
              <w:bottom w:val="single" w:color="854F0B" w:sz="4"/>
              <w:right w:val="single" w:color="854F0B" w:sz="4"/>
            </w:tcBorders>
            <w:shd w:fill="854F0B" w:val="clear"/>
            <w:tcMar>
              <w:top w:type="dxa" w:w="80"/>
              <w:left w:type="dxa" w:w="150"/>
              <w:bottom w:type="dxa" w:w="80"/>
              <w:right w:type="dxa" w:w="150"/>
            </w:tcMar>
            <w:vAlign w:val="center"/>
          </w:tcPr>
          <w:p>
            <w:pPr>
              <w:spacing w:after="80" w:before="0"/>
              <w:jc w:val="left"/>
            </w:pPr>
            <w:r>
              <w:rPr>
                <w:rFonts w:ascii="Arial" w:cs="Arial" w:eastAsia="Arial" w:hAnsi="Arial"/>
                <w:b/>
                <w:bCs/>
                <w:i w:val="false"/>
                <w:iCs w:val="false"/>
                <w:color w:val="FFFFFF"/>
                <w:sz w:val="17"/>
                <w:szCs w:val="17"/>
              </w:rPr>
              <w:t xml:space="preserve">Document produit / requis</w:t>
            </w:r>
          </w:p>
        </w:tc>
      </w:tr>
      <w:tr>
        <w:tc>
          <w:tcPr>
            <w:tcW w:type="dxa" w:w="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854F0B"/>
                <w:sz w:val="18"/>
                <w:szCs w:val="18"/>
              </w:rPr>
              <w:t xml:space="preserve">1</w:t>
            </w:r>
          </w:p>
        </w:tc>
        <w:tc>
          <w:tcPr>
            <w:tcW w:type="dxa" w:w="2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DT / Ass. Technique</w:t>
            </w:r>
          </w:p>
        </w:tc>
        <w:tc>
          <w:tcPr>
            <w:tcW w:type="dxa" w:w="4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Constate la nécessité d'immobiliser le camion. Renseigne la Fiche d'Immobilisation : numéro camion, date, motif, durée estimée.</w:t>
            </w:r>
          </w:p>
        </w:tc>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Fiche d'Immobilisation</w:t>
            </w:r>
          </w:p>
        </w:tc>
      </w:tr>
      <w:tr>
        <w:tc>
          <w:tcPr>
            <w:tcW w:type="dxa" w:w="6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854F0B"/>
                <w:sz w:val="18"/>
                <w:szCs w:val="18"/>
              </w:rPr>
              <w:t xml:space="preserve">2</w:t>
            </w:r>
          </w:p>
        </w:tc>
        <w:tc>
          <w:tcPr>
            <w:tcW w:type="dxa" w:w="20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Ass. Technique</w:t>
            </w:r>
          </w:p>
        </w:tc>
        <w:tc>
          <w:tcPr>
            <w:tcW w:type="dxa" w:w="4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Informe le Dispatcher. Met à jour le tableau de disponibilité de la flotte — statut « Immobilisé ».</w:t>
            </w:r>
          </w:p>
        </w:tc>
        <w:tc>
          <w:tcPr>
            <w:tcW w:type="dxa" w:w="2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Tableau de disponibilité flotte</w:t>
            </w:r>
          </w:p>
        </w:tc>
      </w:tr>
      <w:tr>
        <w:tc>
          <w:tcPr>
            <w:tcW w:type="dxa" w:w="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854F0B"/>
                <w:sz w:val="18"/>
                <w:szCs w:val="18"/>
              </w:rPr>
              <w:t xml:space="preserve">3</w:t>
            </w:r>
          </w:p>
        </w:tc>
        <w:tc>
          <w:tcPr>
            <w:tcW w:type="dxa" w:w="2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Ass. Technique</w:t>
            </w:r>
          </w:p>
        </w:tc>
        <w:tc>
          <w:tcPr>
            <w:tcW w:type="dxa" w:w="4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Notifie le Directeur Financier par Teams avec la Fiche d'Immobilisation. Si accident, notifie également la Direction Générale.</w:t>
            </w:r>
          </w:p>
        </w:tc>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Notification Teams + Fiche</w:t>
            </w:r>
          </w:p>
        </w:tc>
      </w:tr>
    </w:tbl>
    <w:p>
      <w:pPr>
        <w:spacing w:after="80" w:before="8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854F0B"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4. Étapes — Remise en service</w:t>
            </w:r>
          </w:p>
        </w:tc>
      </w:tr>
    </w:tbl>
    <w:p>
      <w:pPr>
        <w:spacing w:after="80" w:before="5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4200"/>
        <w:gridCol w:w="2200"/>
      </w:tblGrid>
      <w:tr>
        <w:tc>
          <w:tcPr>
            <w:tcW w:type="dxa" w:w="600"/>
            <w:tcBorders>
              <w:top w:val="single" w:color="854F0B" w:sz="4"/>
              <w:left w:val="single" w:color="854F0B" w:sz="4"/>
              <w:bottom w:val="single" w:color="854F0B" w:sz="4"/>
              <w:right w:val="single" w:color="854F0B" w:sz="4"/>
            </w:tcBorders>
            <w:shd w:fill="854F0B"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FFFFFF"/>
                <w:sz w:val="17"/>
                <w:szCs w:val="17"/>
              </w:rPr>
              <w:t xml:space="preserve">Étape</w:t>
            </w:r>
          </w:p>
        </w:tc>
        <w:tc>
          <w:tcPr>
            <w:tcW w:type="dxa" w:w="2000"/>
            <w:tcBorders>
              <w:top w:val="single" w:color="854F0B" w:sz="4"/>
              <w:left w:val="single" w:color="854F0B" w:sz="4"/>
              <w:bottom w:val="single" w:color="854F0B" w:sz="4"/>
              <w:right w:val="single" w:color="854F0B" w:sz="4"/>
            </w:tcBorders>
            <w:shd w:fill="854F0B"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FFFFFF"/>
                <w:sz w:val="17"/>
                <w:szCs w:val="17"/>
              </w:rPr>
              <w:t xml:space="preserve">Acteur</w:t>
            </w:r>
          </w:p>
        </w:tc>
        <w:tc>
          <w:tcPr>
            <w:tcW w:type="dxa" w:w="4200"/>
            <w:tcBorders>
              <w:top w:val="single" w:color="854F0B" w:sz="4"/>
              <w:left w:val="single" w:color="854F0B" w:sz="4"/>
              <w:bottom w:val="single" w:color="854F0B" w:sz="4"/>
              <w:right w:val="single" w:color="854F0B" w:sz="4"/>
            </w:tcBorders>
            <w:shd w:fill="854F0B" w:val="clear"/>
            <w:tcMar>
              <w:top w:type="dxa" w:w="80"/>
              <w:left w:type="dxa" w:w="150"/>
              <w:bottom w:type="dxa" w:w="80"/>
              <w:right w:type="dxa" w:w="150"/>
            </w:tcMar>
            <w:vAlign w:val="center"/>
          </w:tcPr>
          <w:p>
            <w:pPr>
              <w:spacing w:after="80" w:before="0"/>
              <w:jc w:val="left"/>
            </w:pPr>
            <w:r>
              <w:rPr>
                <w:rFonts w:ascii="Arial" w:cs="Arial" w:eastAsia="Arial" w:hAnsi="Arial"/>
                <w:b/>
                <w:bCs/>
                <w:i w:val="false"/>
                <w:iCs w:val="false"/>
                <w:color w:val="FFFFFF"/>
                <w:sz w:val="17"/>
                <w:szCs w:val="17"/>
              </w:rPr>
              <w:t xml:space="preserve">Action à réaliser</w:t>
            </w:r>
          </w:p>
        </w:tc>
        <w:tc>
          <w:tcPr>
            <w:tcW w:type="dxa" w:w="2200"/>
            <w:tcBorders>
              <w:top w:val="single" w:color="854F0B" w:sz="4"/>
              <w:left w:val="single" w:color="854F0B" w:sz="4"/>
              <w:bottom w:val="single" w:color="854F0B" w:sz="4"/>
              <w:right w:val="single" w:color="854F0B" w:sz="4"/>
            </w:tcBorders>
            <w:shd w:fill="854F0B" w:val="clear"/>
            <w:tcMar>
              <w:top w:type="dxa" w:w="80"/>
              <w:left w:type="dxa" w:w="150"/>
              <w:bottom w:type="dxa" w:w="80"/>
              <w:right w:type="dxa" w:w="150"/>
            </w:tcMar>
            <w:vAlign w:val="center"/>
          </w:tcPr>
          <w:p>
            <w:pPr>
              <w:spacing w:after="80" w:before="0"/>
              <w:jc w:val="left"/>
            </w:pPr>
            <w:r>
              <w:rPr>
                <w:rFonts w:ascii="Arial" w:cs="Arial" w:eastAsia="Arial" w:hAnsi="Arial"/>
                <w:b/>
                <w:bCs/>
                <w:i w:val="false"/>
                <w:iCs w:val="false"/>
                <w:color w:val="FFFFFF"/>
                <w:sz w:val="17"/>
                <w:szCs w:val="17"/>
              </w:rPr>
              <w:t xml:space="preserve">Document produit / requis</w:t>
            </w:r>
          </w:p>
        </w:tc>
      </w:tr>
      <w:tr>
        <w:tc>
          <w:tcPr>
            <w:tcW w:type="dxa" w:w="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854F0B"/>
                <w:sz w:val="18"/>
                <w:szCs w:val="18"/>
              </w:rPr>
              <w:t xml:space="preserve">1</w:t>
            </w:r>
          </w:p>
        </w:tc>
        <w:tc>
          <w:tcPr>
            <w:tcW w:type="dxa" w:w="2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DT / Ass. Technique</w:t>
            </w:r>
          </w:p>
        </w:tc>
        <w:tc>
          <w:tcPr>
            <w:tcW w:type="dxa" w:w="4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Constate que les travaux ou contrôles sont terminés. Signe le bon de réception / PV de contrôle technique.</w:t>
            </w:r>
          </w:p>
        </w:tc>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Bon de réception / PV contrôle</w:t>
            </w:r>
          </w:p>
        </w:tc>
      </w:tr>
      <w:tr>
        <w:tc>
          <w:tcPr>
            <w:tcW w:type="dxa" w:w="6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854F0B"/>
                <w:sz w:val="18"/>
                <w:szCs w:val="18"/>
              </w:rPr>
              <w:t xml:space="preserve">2</w:t>
            </w:r>
          </w:p>
        </w:tc>
        <w:tc>
          <w:tcPr>
            <w:tcW w:type="dxa" w:w="20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Ass. Technique</w:t>
            </w:r>
          </w:p>
        </w:tc>
        <w:tc>
          <w:tcPr>
            <w:tcW w:type="dxa" w:w="4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Met à jour la fiche technique du camion. Clôture la Fiche d'Immobilisation avec la date de remise en service effective.</w:t>
            </w:r>
          </w:p>
        </w:tc>
        <w:tc>
          <w:tcPr>
            <w:tcW w:type="dxa" w:w="2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Fiche d'Immobilisation clôturée</w:t>
            </w:r>
          </w:p>
        </w:tc>
      </w:tr>
      <w:tr>
        <w:tc>
          <w:tcPr>
            <w:tcW w:type="dxa" w:w="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854F0B"/>
                <w:sz w:val="18"/>
                <w:szCs w:val="18"/>
              </w:rPr>
              <w:t xml:space="preserve">3</w:t>
            </w:r>
          </w:p>
        </w:tc>
        <w:tc>
          <w:tcPr>
            <w:tcW w:type="dxa" w:w="2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Ass. Technique</w:t>
            </w:r>
          </w:p>
        </w:tc>
        <w:tc>
          <w:tcPr>
            <w:tcW w:type="dxa" w:w="4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Informe le Dispatcher : le camion est de nouveau disponible. Met à jour le tableau de disponibilité flotte — statut « Disponible ».</w:t>
            </w:r>
          </w:p>
        </w:tc>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Tableau de disponibilité flotte</w:t>
            </w:r>
          </w:p>
        </w:tc>
      </w:tr>
      <w:tr>
        <w:tc>
          <w:tcPr>
            <w:tcW w:type="dxa" w:w="6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854F0B"/>
                <w:sz w:val="18"/>
                <w:szCs w:val="18"/>
              </w:rPr>
              <w:t xml:space="preserve">4</w:t>
            </w:r>
          </w:p>
        </w:tc>
        <w:tc>
          <w:tcPr>
            <w:tcW w:type="dxa" w:w="20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Ass. Technique</w:t>
            </w:r>
          </w:p>
        </w:tc>
        <w:tc>
          <w:tcPr>
            <w:tcW w:type="dxa" w:w="4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Notifie le Directeur Financier de la remise en service via Teams.</w:t>
            </w:r>
          </w:p>
        </w:tc>
        <w:tc>
          <w:tcPr>
            <w:tcW w:type="dxa" w:w="2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Notification Teams</w:t>
            </w:r>
          </w:p>
        </w:tc>
      </w:tr>
    </w:tbl>
    <w:p>
      <w:pPr>
        <w:spacing w:after="8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5F5E5A"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5. Points de contrôle</w:t>
            </w:r>
          </w:p>
        </w:tc>
      </w:tr>
    </w:tbl>
    <w:p>
      <w:pPr>
        <w:spacing w:after="80" w:before="5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single" w:color="854F0B" w:sz="5"/>
              <w:left w:val="single" w:color="854F0B" w:sz="5"/>
              <w:bottom w:val="single" w:color="854F0B" w:sz="5"/>
              <w:right w:val="single" w:color="854F0B" w:sz="5"/>
            </w:tcBorders>
            <w:shd w:fill="FAEEDA"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854F0B"/>
                <w:sz w:val="20"/>
                <w:szCs w:val="20"/>
              </w:rPr>
              <w:t xml:space="preserve">!</w:t>
            </w:r>
          </w:p>
        </w:tc>
        <w:tc>
          <w:tcPr>
            <w:tcW w:type="dxa" w:w="8700"/>
            <w:tcBorders>
              <w:top w:val="single" w:color="854F0B" w:sz="5"/>
              <w:left w:val="nil" w:color="FFFFFF" w:sz="0"/>
              <w:bottom w:val="single" w:color="854F0B" w:sz="5"/>
              <w:right w:val="single" w:color="854F0B" w:sz="5"/>
            </w:tcBorders>
            <w:shd w:fill="FAEEDA"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iCs/>
                <w:color w:val="854F0B"/>
                <w:sz w:val="18"/>
                <w:szCs w:val="18"/>
              </w:rPr>
              <w:t xml:space="preserve">Le Dispatcher ne peut jamais affecter un camion dont le statut est « Immobilisé » dans le tableau de disponibilité. Ce tableau fait foi pour toute affectation de course.</w:t>
            </w:r>
          </w:p>
        </w:tc>
      </w:tr>
    </w:tbl>
    <w:p>
      <w:pPr>
        <w:spacing w:after="80" w:before="80"/>
        <w:jc w:val="left"/>
      </w:pPr>
      <w:r>
        <w:rPr>
          <w:rFonts w:ascii="Arial" w:cs="Arial" w:eastAsia="Arial" w:hAnsi="Arial"/>
          <w:b w:val="false"/>
          <w:bCs w:val="false"/>
          <w:i w:val="false"/>
          <w:iCs w:val="false"/>
          <w:color w:val="2C2C2A"/>
          <w:sz w:val="20"/>
          <w:szCs w:val="20"/>
        </w:rPr>
        <w:t xml:space="preserve"/>
      </w:r>
    </w:p>
    <w:p>
      <w:pPr>
        <w:pBdr>
          <w:bottom w:val="single" w:color="D3D1C7" w:sz="6" w:space="1"/>
        </w:pBdr>
        <w:spacing w:after="40" w:before="40"/>
        <w:jc w:val="left"/>
      </w:pPr>
      <w:r>
        <w:rPr>
          <w:rFonts w:ascii="Arial" w:cs="Arial" w:eastAsia="Arial" w:hAnsi="Arial"/>
          <w:b w:val="false"/>
          <w:bCs w:val="false"/>
          <w:i w:val="false"/>
          <w:iCs w:val="false"/>
          <w:color w:val="2C2C2A"/>
          <w:sz w:val="20"/>
          <w:szCs w:val="20"/>
        </w:rPr>
        <w:t xml:space="preserve"/>
      </w:r>
    </w:p>
    <w:p>
      <w:pPr>
        <w:spacing w:after="80" w:before="0"/>
        <w:jc w:val="center"/>
      </w:pPr>
      <w:r>
        <w:rPr>
          <w:rFonts w:ascii="Arial" w:cs="Arial" w:eastAsia="Arial" w:hAnsi="Arial"/>
          <w:b w:val="false"/>
          <w:bCs w:val="false"/>
          <w:i/>
          <w:iCs/>
          <w:color w:val="5F5E5A"/>
          <w:sz w:val="15"/>
          <w:szCs w:val="15"/>
        </w:rPr>
        <w:t xml:space="preserve">PROC-KL-06   |   KAKO Logistique — Procédures Opérationnelles   |   Document interne confidentiel</w:t>
      </w:r>
    </w:p>
    <w:p>
      <w:pPr>
        <w:spacing w:after="80" w:before="0"/>
        <w:jc w:val="left"/>
      </w:pPr>
      <w:r>
        <w:br w:type="pag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3C3489" w:val="clear"/>
            <w:tcMar>
              <w:top w:type="dxa" w:w="80"/>
              <w:left w:type="dxa" w:w="150"/>
              <w:bottom w:type="dxa" w:w="80"/>
              <w:right w:type="dxa" w:w="150"/>
            </w:tcMar>
            <w:vAlign w:val="center"/>
          </w:tcPr>
          <w:p>
            <w:pPr>
              <w:spacing w:after="6" w:before="40"/>
              <w:jc w:val="center"/>
            </w:pPr>
            <w:r>
              <w:rPr>
                <w:rFonts w:ascii="Arial" w:cs="Arial" w:eastAsia="Arial" w:hAnsi="Arial"/>
                <w:b w:val="false"/>
                <w:bCs w:val="false"/>
                <w:i w:val="false"/>
                <w:iCs w:val="false"/>
                <w:color w:val="CECBF6"/>
                <w:sz w:val="16"/>
                <w:szCs w:val="16"/>
              </w:rPr>
              <w:t xml:space="preserve">KAKO Logistique — Procédures Opérationnelles</w:t>
            </w:r>
          </w:p>
          <w:p>
            <w:pPr>
              <w:spacing w:after="40" w:before="0"/>
              <w:jc w:val="center"/>
            </w:pPr>
            <w:r>
              <w:rPr>
                <w:rFonts w:ascii="Arial" w:cs="Arial" w:eastAsia="Arial" w:hAnsi="Arial"/>
                <w:b/>
                <w:bCs/>
                <w:i w:val="false"/>
                <w:iCs w:val="false"/>
                <w:color w:val="FFFFFF"/>
                <w:sz w:val="24"/>
                <w:szCs w:val="24"/>
              </w:rPr>
              <w:t xml:space="preserve">PROC-KL-07 — Justification des avances &amp; reddition de comptes</w:t>
            </w:r>
          </w:p>
        </w:tc>
      </w:tr>
      <w:tr>
        <w:tc>
          <w:tcPr>
            <w:tcW w:type="dxa" w:w="9000"/>
            <w:tcBorders>
              <w:top w:val="nil" w:color="FFFFFF" w:sz="0"/>
              <w:left w:val="nil" w:color="FFFFFF" w:sz="0"/>
              <w:bottom w:val="nil" w:color="FFFFFF" w:sz="0"/>
              <w:right w:val="nil" w:color="FFFFFF" w:sz="0"/>
            </w:tcBorders>
            <w:shd w:fill="3C3489" w:val="clear"/>
            <w:tcMar>
              <w:top w:type="dxa" w:w="80"/>
              <w:left w:type="dxa" w:w="150"/>
              <w:bottom w:type="dxa" w:w="80"/>
              <w:right w:type="dxa" w:w="150"/>
            </w:tcMar>
            <w:vAlign w:val="center"/>
          </w:tcPr>
          <w:p>
            <w:pPr>
              <w:spacing w:after="50" w:before="50"/>
              <w:jc w:val="center"/>
            </w:pPr>
            <w:r>
              <w:rPr>
                <w:rFonts w:ascii="Arial" w:cs="Arial" w:eastAsia="Arial" w:hAnsi="Arial"/>
                <w:b w:val="false"/>
                <w:bCs w:val="false"/>
                <w:i w:val="false"/>
                <w:iCs w:val="false"/>
                <w:color w:val="FFFFFF"/>
                <w:sz w:val="17"/>
                <w:szCs w:val="17"/>
              </w:rPr>
              <w:t xml:space="preserve">Catégorie : Financier — Contrôle interne   |   Fréquence : Après chaque dépense sur avance</w:t>
            </w:r>
          </w:p>
        </w:tc>
      </w:tr>
    </w:tbl>
    <w:p>
      <w:pPr>
        <w:spacing w:after="8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3C3489"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1. Objet</w:t>
            </w:r>
          </w:p>
        </w:tc>
      </w:tr>
    </w:tbl>
    <w:p>
      <w:pPr>
        <w:spacing w:after="80" w:before="50"/>
        <w:jc w:val="left"/>
      </w:pPr>
      <w:r>
        <w:rPr>
          <w:rFonts w:ascii="Arial" w:cs="Arial" w:eastAsia="Arial" w:hAnsi="Arial"/>
          <w:b w:val="false"/>
          <w:bCs w:val="false"/>
          <w:i w:val="false"/>
          <w:iCs w:val="false"/>
          <w:color w:val="2C2C2A"/>
          <w:sz w:val="20"/>
          <w:szCs w:val="20"/>
        </w:rPr>
        <w:t xml:space="preserve"/>
      </w:r>
    </w:p>
    <w:p>
      <w:pPr>
        <w:spacing w:after="80" w:before="0"/>
        <w:jc w:val="left"/>
      </w:pPr>
      <w:r>
        <w:rPr>
          <w:rFonts w:ascii="Arial" w:cs="Arial" w:eastAsia="Arial" w:hAnsi="Arial"/>
          <w:b w:val="false"/>
          <w:bCs w:val="false"/>
          <w:i w:val="false"/>
          <w:iCs w:val="false"/>
          <w:color w:val="2C2C2A"/>
          <w:sz w:val="20"/>
          <w:szCs w:val="20"/>
        </w:rPr>
        <w:t xml:space="preserve">Définir le processus de justification de toute avance décaissée dans le cadre des opérations de KAKO Logistique, afin de garantir que chaque sortie de fonds est appuyée par des pièces justificatives valides et que les soldes non utilisés sont systématiquement reversés à la caisse.</w:t>
      </w:r>
    </w:p>
    <w:p>
      <w:pPr>
        <w:spacing w:after="8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3C3489"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2. Délais de justification</w:t>
            </w:r>
          </w:p>
        </w:tc>
      </w:tr>
    </w:tbl>
    <w:p>
      <w:pPr>
        <w:spacing w:after="80" w:before="5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500"/>
      </w:tblGrid>
      <w:tr>
        <w:tc>
          <w:tcPr>
            <w:tcW w:type="dxa" w:w="4000"/>
            <w:tcBorders>
              <w:top w:val="single" w:color="3C3489" w:sz="4"/>
              <w:left w:val="single" w:color="3C3489" w:sz="4"/>
              <w:bottom w:val="single" w:color="3C3489" w:sz="4"/>
              <w:right w:val="single" w:color="3C3489" w:sz="4"/>
            </w:tcBorders>
            <w:shd w:fill="3C3489" w:val="clear"/>
            <w:tcMar>
              <w:top w:type="dxa" w:w="80"/>
              <w:left w:type="dxa" w:w="150"/>
              <w:bottom w:type="dxa" w:w="80"/>
              <w:right w:type="dxa" w:w="150"/>
            </w:tcMar>
            <w:vAlign w:val="center"/>
          </w:tcPr>
          <w:p>
            <w:pPr>
              <w:spacing w:after="80" w:before="0"/>
              <w:jc w:val="left"/>
            </w:pPr>
            <w:r>
              <w:rPr>
                <w:rFonts w:ascii="Arial" w:cs="Arial" w:eastAsia="Arial" w:hAnsi="Arial"/>
                <w:b/>
                <w:bCs/>
                <w:i w:val="false"/>
                <w:iCs w:val="false"/>
                <w:color w:val="FFFFFF"/>
                <w:sz w:val="17"/>
                <w:szCs w:val="17"/>
              </w:rPr>
              <w:t xml:space="preserve">Type d'avance</w:t>
            </w:r>
          </w:p>
        </w:tc>
        <w:tc>
          <w:tcPr>
            <w:tcW w:type="dxa" w:w="2500"/>
            <w:tcBorders>
              <w:top w:val="single" w:color="3C3489" w:sz="4"/>
              <w:left w:val="single" w:color="3C3489" w:sz="4"/>
              <w:bottom w:val="single" w:color="3C3489" w:sz="4"/>
              <w:right w:val="single" w:color="3C3489" w:sz="4"/>
            </w:tcBorders>
            <w:shd w:fill="3C3489"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FFFFFF"/>
                <w:sz w:val="17"/>
                <w:szCs w:val="17"/>
              </w:rPr>
              <w:t xml:space="preserve">Délai de justification</w:t>
            </w:r>
          </w:p>
        </w:tc>
        <w:tc>
          <w:tcPr>
            <w:tcW w:type="dxa" w:w="2500"/>
            <w:tcBorders>
              <w:top w:val="single" w:color="3C3489" w:sz="4"/>
              <w:left w:val="single" w:color="3C3489" w:sz="4"/>
              <w:bottom w:val="single" w:color="3C3489" w:sz="4"/>
              <w:right w:val="single" w:color="3C3489" w:sz="4"/>
            </w:tcBorders>
            <w:shd w:fill="3C3489"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FFFFFF"/>
                <w:sz w:val="17"/>
                <w:szCs w:val="17"/>
              </w:rPr>
              <w:t xml:space="preserve">Responsable</w:t>
            </w:r>
          </w:p>
        </w:tc>
      </w:tr>
      <w:tr>
        <w:tc>
          <w:tcPr>
            <w:tcW w:type="dxa" w:w="4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val="false"/>
                <w:iCs w:val="false"/>
                <w:color w:val="2C2C2A"/>
                <w:sz w:val="18"/>
                <w:szCs w:val="18"/>
              </w:rPr>
              <w:t xml:space="preserve">Avance course (carburant + frais route)</w:t>
            </w:r>
          </w:p>
        </w:tc>
        <w:tc>
          <w:tcPr>
            <w:tcW w:type="dxa" w:w="25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20" w:before="20"/>
              <w:jc w:val="center"/>
            </w:pPr>
            <w:r>
              <w:rPr>
                <w:rFonts w:ascii="Arial" w:cs="Arial" w:eastAsia="Arial" w:hAnsi="Arial"/>
                <w:b w:val="false"/>
                <w:bCs w:val="false"/>
                <w:i w:val="false"/>
                <w:iCs w:val="false"/>
                <w:color w:val="2C2C2A"/>
                <w:sz w:val="18"/>
                <w:szCs w:val="18"/>
              </w:rPr>
              <w:t xml:space="preserve">Dès le retour du camion, max 2h</w:t>
            </w:r>
          </w:p>
        </w:tc>
        <w:tc>
          <w:tcPr>
            <w:tcW w:type="dxa" w:w="25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20" w:before="20"/>
              <w:jc w:val="center"/>
            </w:pPr>
            <w:r>
              <w:rPr>
                <w:rFonts w:ascii="Arial" w:cs="Arial" w:eastAsia="Arial" w:hAnsi="Arial"/>
                <w:b/>
                <w:bCs/>
                <w:i w:val="false"/>
                <w:iCs w:val="false"/>
                <w:color w:val="3C3489"/>
                <w:sz w:val="18"/>
                <w:szCs w:val="18"/>
              </w:rPr>
              <w:t xml:space="preserve">Ass. Technique</w:t>
            </w:r>
          </w:p>
        </w:tc>
      </w:tr>
      <w:tr>
        <w:tc>
          <w:tcPr>
            <w:tcW w:type="dxa" w:w="4000"/>
            <w:tcBorders>
              <w:top w:val="single" w:color="D3D1C7" w:sz="3"/>
              <w:left w:val="single" w:color="D3D1C7" w:sz="3"/>
              <w:bottom w:val="single" w:color="D3D1C7" w:sz="3"/>
              <w:right w:val="single" w:color="D3D1C7" w:sz="3"/>
            </w:tcBorders>
            <w:shd w:fill="EEEDFE"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val="false"/>
                <w:iCs w:val="false"/>
                <w:color w:val="2C2C2A"/>
                <w:sz w:val="18"/>
                <w:szCs w:val="18"/>
              </w:rPr>
              <w:t xml:space="preserve">Avance entretien / réparation camion</w:t>
            </w:r>
          </w:p>
        </w:tc>
        <w:tc>
          <w:tcPr>
            <w:tcW w:type="dxa" w:w="2500"/>
            <w:tcBorders>
              <w:top w:val="single" w:color="D3D1C7" w:sz="3"/>
              <w:left w:val="single" w:color="D3D1C7" w:sz="3"/>
              <w:bottom w:val="single" w:color="D3D1C7" w:sz="3"/>
              <w:right w:val="single" w:color="D3D1C7" w:sz="3"/>
            </w:tcBorders>
            <w:shd w:fill="EEEDFE" w:val="clear"/>
            <w:tcMar>
              <w:top w:type="dxa" w:w="80"/>
              <w:left w:type="dxa" w:w="150"/>
              <w:bottom w:type="dxa" w:w="80"/>
              <w:right w:type="dxa" w:w="150"/>
            </w:tcMar>
            <w:vAlign w:val="center"/>
          </w:tcPr>
          <w:p>
            <w:pPr>
              <w:spacing w:after="20" w:before="20"/>
              <w:jc w:val="center"/>
            </w:pPr>
            <w:r>
              <w:rPr>
                <w:rFonts w:ascii="Arial" w:cs="Arial" w:eastAsia="Arial" w:hAnsi="Arial"/>
                <w:b w:val="false"/>
                <w:bCs w:val="false"/>
                <w:i w:val="false"/>
                <w:iCs w:val="false"/>
                <w:color w:val="2C2C2A"/>
                <w:sz w:val="18"/>
                <w:szCs w:val="18"/>
              </w:rPr>
              <w:t xml:space="preserve">Dans les 24h après fin des travaux</w:t>
            </w:r>
          </w:p>
        </w:tc>
        <w:tc>
          <w:tcPr>
            <w:tcW w:type="dxa" w:w="2500"/>
            <w:tcBorders>
              <w:top w:val="single" w:color="D3D1C7" w:sz="3"/>
              <w:left w:val="single" w:color="D3D1C7" w:sz="3"/>
              <w:bottom w:val="single" w:color="D3D1C7" w:sz="3"/>
              <w:right w:val="single" w:color="D3D1C7" w:sz="3"/>
            </w:tcBorders>
            <w:shd w:fill="EEEDFE" w:val="clear"/>
            <w:tcMar>
              <w:top w:type="dxa" w:w="80"/>
              <w:left w:type="dxa" w:w="150"/>
              <w:bottom w:type="dxa" w:w="80"/>
              <w:right w:type="dxa" w:w="150"/>
            </w:tcMar>
            <w:vAlign w:val="center"/>
          </w:tcPr>
          <w:p>
            <w:pPr>
              <w:spacing w:after="20" w:before="20"/>
              <w:jc w:val="center"/>
            </w:pPr>
            <w:r>
              <w:rPr>
                <w:rFonts w:ascii="Arial" w:cs="Arial" w:eastAsia="Arial" w:hAnsi="Arial"/>
                <w:b/>
                <w:bCs/>
                <w:i w:val="false"/>
                <w:iCs w:val="false"/>
                <w:color w:val="3C3489"/>
                <w:sz w:val="18"/>
                <w:szCs w:val="18"/>
              </w:rPr>
              <w:t xml:space="preserve">Ass. Technique</w:t>
            </w:r>
          </w:p>
        </w:tc>
      </w:tr>
      <w:tr>
        <w:tc>
          <w:tcPr>
            <w:tcW w:type="dxa" w:w="4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val="false"/>
                <w:iCs w:val="false"/>
                <w:color w:val="2C2C2A"/>
                <w:sz w:val="18"/>
                <w:szCs w:val="18"/>
              </w:rPr>
              <w:t xml:space="preserve">Avance chauffeur / convoyeur</w:t>
            </w:r>
          </w:p>
        </w:tc>
        <w:tc>
          <w:tcPr>
            <w:tcW w:type="dxa" w:w="25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20" w:before="20"/>
              <w:jc w:val="center"/>
            </w:pPr>
            <w:r>
              <w:rPr>
                <w:rFonts w:ascii="Arial" w:cs="Arial" w:eastAsia="Arial" w:hAnsi="Arial"/>
                <w:b w:val="false"/>
                <w:bCs w:val="false"/>
                <w:i w:val="false"/>
                <w:iCs w:val="false"/>
                <w:color w:val="2C2C2A"/>
                <w:sz w:val="18"/>
                <w:szCs w:val="18"/>
              </w:rPr>
              <w:t xml:space="preserve">Au plus tard le lendemain matin</w:t>
            </w:r>
          </w:p>
        </w:tc>
        <w:tc>
          <w:tcPr>
            <w:tcW w:type="dxa" w:w="25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20" w:before="20"/>
              <w:jc w:val="center"/>
            </w:pPr>
            <w:r>
              <w:rPr>
                <w:rFonts w:ascii="Arial" w:cs="Arial" w:eastAsia="Arial" w:hAnsi="Arial"/>
                <w:b/>
                <w:bCs/>
                <w:i w:val="false"/>
                <w:iCs w:val="false"/>
                <w:color w:val="3C3489"/>
                <w:sz w:val="18"/>
                <w:szCs w:val="18"/>
              </w:rPr>
              <w:t xml:space="preserve">Ass. Technique</w:t>
            </w:r>
          </w:p>
        </w:tc>
      </w:tr>
    </w:tbl>
    <w:p>
      <w:pPr>
        <w:spacing w:after="8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3C3489"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3. Étapes de la procédure</w:t>
            </w:r>
          </w:p>
        </w:tc>
      </w:tr>
    </w:tbl>
    <w:p>
      <w:pPr>
        <w:spacing w:after="80" w:before="5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4200"/>
        <w:gridCol w:w="2200"/>
      </w:tblGrid>
      <w:tr>
        <w:tc>
          <w:tcPr>
            <w:tcW w:type="dxa" w:w="600"/>
            <w:tcBorders>
              <w:top w:val="single" w:color="3C3489" w:sz="4"/>
              <w:left w:val="single" w:color="3C3489" w:sz="4"/>
              <w:bottom w:val="single" w:color="3C3489" w:sz="4"/>
              <w:right w:val="single" w:color="3C3489" w:sz="4"/>
            </w:tcBorders>
            <w:shd w:fill="3C3489"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FFFFFF"/>
                <w:sz w:val="17"/>
                <w:szCs w:val="17"/>
              </w:rPr>
              <w:t xml:space="preserve">Étape</w:t>
            </w:r>
          </w:p>
        </w:tc>
        <w:tc>
          <w:tcPr>
            <w:tcW w:type="dxa" w:w="2000"/>
            <w:tcBorders>
              <w:top w:val="single" w:color="3C3489" w:sz="4"/>
              <w:left w:val="single" w:color="3C3489" w:sz="4"/>
              <w:bottom w:val="single" w:color="3C3489" w:sz="4"/>
              <w:right w:val="single" w:color="3C3489" w:sz="4"/>
            </w:tcBorders>
            <w:shd w:fill="3C3489"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FFFFFF"/>
                <w:sz w:val="17"/>
                <w:szCs w:val="17"/>
              </w:rPr>
              <w:t xml:space="preserve">Acteur</w:t>
            </w:r>
          </w:p>
        </w:tc>
        <w:tc>
          <w:tcPr>
            <w:tcW w:type="dxa" w:w="4200"/>
            <w:tcBorders>
              <w:top w:val="single" w:color="3C3489" w:sz="4"/>
              <w:left w:val="single" w:color="3C3489" w:sz="4"/>
              <w:bottom w:val="single" w:color="3C3489" w:sz="4"/>
              <w:right w:val="single" w:color="3C3489" w:sz="4"/>
            </w:tcBorders>
            <w:shd w:fill="3C3489" w:val="clear"/>
            <w:tcMar>
              <w:top w:type="dxa" w:w="80"/>
              <w:left w:type="dxa" w:w="150"/>
              <w:bottom w:type="dxa" w:w="80"/>
              <w:right w:type="dxa" w:w="150"/>
            </w:tcMar>
            <w:vAlign w:val="center"/>
          </w:tcPr>
          <w:p>
            <w:pPr>
              <w:spacing w:after="80" w:before="0"/>
              <w:jc w:val="left"/>
            </w:pPr>
            <w:r>
              <w:rPr>
                <w:rFonts w:ascii="Arial" w:cs="Arial" w:eastAsia="Arial" w:hAnsi="Arial"/>
                <w:b/>
                <w:bCs/>
                <w:i w:val="false"/>
                <w:iCs w:val="false"/>
                <w:color w:val="FFFFFF"/>
                <w:sz w:val="17"/>
                <w:szCs w:val="17"/>
              </w:rPr>
              <w:t xml:space="preserve">Action à réaliser</w:t>
            </w:r>
          </w:p>
        </w:tc>
        <w:tc>
          <w:tcPr>
            <w:tcW w:type="dxa" w:w="2200"/>
            <w:tcBorders>
              <w:top w:val="single" w:color="3C3489" w:sz="4"/>
              <w:left w:val="single" w:color="3C3489" w:sz="4"/>
              <w:bottom w:val="single" w:color="3C3489" w:sz="4"/>
              <w:right w:val="single" w:color="3C3489" w:sz="4"/>
            </w:tcBorders>
            <w:shd w:fill="3C3489" w:val="clear"/>
            <w:tcMar>
              <w:top w:type="dxa" w:w="80"/>
              <w:left w:type="dxa" w:w="150"/>
              <w:bottom w:type="dxa" w:w="80"/>
              <w:right w:type="dxa" w:w="150"/>
            </w:tcMar>
            <w:vAlign w:val="center"/>
          </w:tcPr>
          <w:p>
            <w:pPr>
              <w:spacing w:after="80" w:before="0"/>
              <w:jc w:val="left"/>
            </w:pPr>
            <w:r>
              <w:rPr>
                <w:rFonts w:ascii="Arial" w:cs="Arial" w:eastAsia="Arial" w:hAnsi="Arial"/>
                <w:b/>
                <w:bCs/>
                <w:i w:val="false"/>
                <w:iCs w:val="false"/>
                <w:color w:val="FFFFFF"/>
                <w:sz w:val="17"/>
                <w:szCs w:val="17"/>
              </w:rPr>
              <w:t xml:space="preserve">Document produit / requis</w:t>
            </w:r>
          </w:p>
        </w:tc>
      </w:tr>
      <w:tr>
        <w:tc>
          <w:tcPr>
            <w:tcW w:type="dxa" w:w="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3C3489"/>
                <w:sz w:val="18"/>
                <w:szCs w:val="18"/>
              </w:rPr>
              <w:t xml:space="preserve">1</w:t>
            </w:r>
          </w:p>
        </w:tc>
        <w:tc>
          <w:tcPr>
            <w:tcW w:type="dxa" w:w="2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Ass. Technique</w:t>
            </w:r>
          </w:p>
        </w:tc>
        <w:tc>
          <w:tcPr>
            <w:tcW w:type="dxa" w:w="4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Collecte tous les justificatifs de dépenses (reçus carburant, reçus péages, factures prestataires, reçus divers) et le solde non dépensé.</w:t>
            </w:r>
          </w:p>
        </w:tc>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Enveloppe de justificatifs</w:t>
            </w:r>
          </w:p>
        </w:tc>
      </w:tr>
      <w:tr>
        <w:tc>
          <w:tcPr>
            <w:tcW w:type="dxa" w:w="6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3C3489"/>
                <w:sz w:val="18"/>
                <w:szCs w:val="18"/>
              </w:rPr>
              <w:t xml:space="preserve">2</w:t>
            </w:r>
          </w:p>
        </w:tc>
        <w:tc>
          <w:tcPr>
            <w:tcW w:type="dxa" w:w="20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Ass. Technique</w:t>
            </w:r>
          </w:p>
        </w:tc>
        <w:tc>
          <w:tcPr>
            <w:tcW w:type="dxa" w:w="4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Remplit la Fiche de Justification d'Avance : montant avance reçue, détail des dépenses justifiées, solde restant. Totalise et vérifie l'équilibre.</w:t>
            </w:r>
          </w:p>
        </w:tc>
        <w:tc>
          <w:tcPr>
            <w:tcW w:type="dxa" w:w="2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Fiche de Justification d'Avance</w:t>
            </w:r>
          </w:p>
        </w:tc>
      </w:tr>
      <w:tr>
        <w:tc>
          <w:tcPr>
            <w:tcW w:type="dxa" w:w="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3C3489"/>
                <w:sz w:val="18"/>
                <w:szCs w:val="18"/>
              </w:rPr>
              <w:t xml:space="preserve">3</w:t>
            </w:r>
          </w:p>
        </w:tc>
        <w:tc>
          <w:tcPr>
            <w:tcW w:type="dxa" w:w="2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Ass. Technique</w:t>
            </w:r>
          </w:p>
        </w:tc>
        <w:tc>
          <w:tcPr>
            <w:tcW w:type="dxa" w:w="4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Remet à la Caissière : la Fiche de Justification signée, les justificatifs originaux classés, et le solde en espèces.</w:t>
            </w:r>
          </w:p>
        </w:tc>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Fiche + justificatifs + solde</w:t>
            </w:r>
          </w:p>
        </w:tc>
      </w:tr>
      <w:tr>
        <w:tc>
          <w:tcPr>
            <w:tcW w:type="dxa" w:w="6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3C3489"/>
                <w:sz w:val="18"/>
                <w:szCs w:val="18"/>
              </w:rPr>
              <w:t xml:space="preserve">4</w:t>
            </w:r>
          </w:p>
        </w:tc>
        <w:tc>
          <w:tcPr>
            <w:tcW w:type="dxa" w:w="20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Caissière (Likasi)</w:t>
            </w:r>
          </w:p>
        </w:tc>
        <w:tc>
          <w:tcPr>
            <w:tcW w:type="dxa" w:w="4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Contrôle la cohérence (montant avance = dépenses + solde). Signe la Fiche de Justification en accusé de réception. Enregistre le retour de solde en journal de caisse.</w:t>
            </w:r>
          </w:p>
        </w:tc>
        <w:tc>
          <w:tcPr>
            <w:tcW w:type="dxa" w:w="2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Journal de caisse — retour solde</w:t>
            </w:r>
          </w:p>
        </w:tc>
      </w:tr>
      <w:tr>
        <w:tc>
          <w:tcPr>
            <w:tcW w:type="dxa" w:w="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3C3489"/>
                <w:sz w:val="18"/>
                <w:szCs w:val="18"/>
              </w:rPr>
              <w:t xml:space="preserve">5</w:t>
            </w:r>
          </w:p>
        </w:tc>
        <w:tc>
          <w:tcPr>
            <w:tcW w:type="dxa" w:w="2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Caissière</w:t>
            </w:r>
          </w:p>
        </w:tc>
        <w:tc>
          <w:tcPr>
            <w:tcW w:type="dxa" w:w="4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Transmet la Fiche de Justification et les pièces au Comptable KL (F. Mutwale) via Teams pour comptabilisation.</w:t>
            </w:r>
          </w:p>
        </w:tc>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Transmission Teams à Kolwezi</w:t>
            </w:r>
          </w:p>
        </w:tc>
      </w:tr>
      <w:tr>
        <w:tc>
          <w:tcPr>
            <w:tcW w:type="dxa" w:w="6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3C3489"/>
                <w:sz w:val="18"/>
                <w:szCs w:val="18"/>
              </w:rPr>
              <w:t xml:space="preserve">6</w:t>
            </w:r>
          </w:p>
        </w:tc>
        <w:tc>
          <w:tcPr>
            <w:tcW w:type="dxa" w:w="20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Comptable KL (F. Mutwale)</w:t>
            </w:r>
          </w:p>
        </w:tc>
        <w:tc>
          <w:tcPr>
            <w:tcW w:type="dxa" w:w="4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Comptabilise les dépenses justifiées par nature (carburant, péages, maintenance, etc.). Soldé l'avance dans les comptes. Signale toute pièce manquante ou incohérente au DF.</w:t>
            </w:r>
          </w:p>
        </w:tc>
        <w:tc>
          <w:tcPr>
            <w:tcW w:type="dxa" w:w="2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Journal comptable — charges</w:t>
            </w:r>
          </w:p>
        </w:tc>
      </w:tr>
    </w:tbl>
    <w:p>
      <w:pPr>
        <w:spacing w:after="8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5F5E5A"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4. Points de contrôle</w:t>
            </w:r>
          </w:p>
        </w:tc>
      </w:tr>
    </w:tbl>
    <w:p>
      <w:pPr>
        <w:spacing w:after="80" w:before="5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single" w:color="854F0B" w:sz="5"/>
              <w:left w:val="single" w:color="854F0B" w:sz="5"/>
              <w:bottom w:val="single" w:color="854F0B" w:sz="5"/>
              <w:right w:val="single" w:color="854F0B" w:sz="5"/>
            </w:tcBorders>
            <w:shd w:fill="FAEEDA"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854F0B"/>
                <w:sz w:val="20"/>
                <w:szCs w:val="20"/>
              </w:rPr>
              <w:t xml:space="preserve">!</w:t>
            </w:r>
          </w:p>
        </w:tc>
        <w:tc>
          <w:tcPr>
            <w:tcW w:type="dxa" w:w="8700"/>
            <w:tcBorders>
              <w:top w:val="single" w:color="854F0B" w:sz="5"/>
              <w:left w:val="nil" w:color="FFFFFF" w:sz="0"/>
              <w:bottom w:val="single" w:color="854F0B" w:sz="5"/>
              <w:right w:val="single" w:color="854F0B" w:sz="5"/>
            </w:tcBorders>
            <w:shd w:fill="FAEEDA"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iCs/>
                <w:color w:val="854F0B"/>
                <w:sz w:val="18"/>
                <w:szCs w:val="18"/>
              </w:rPr>
              <w:t xml:space="preserve">Toute avance non justifiée dans les délais impartis est signalée par la Caissière au Directeur Financier dès le lendemain matin. Le DF est en droit de bloquer toute nouvelle avance au bénéficiaire concerné jusqu'à régularisation.</w:t>
            </w:r>
          </w:p>
        </w:tc>
      </w:tr>
    </w:tbl>
    <w:p>
      <w:pPr>
        <w:spacing w:after="80" w:before="6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single" w:color="A32D2D" w:sz="5"/>
              <w:left w:val="single" w:color="A32D2D" w:sz="5"/>
              <w:bottom w:val="single" w:color="A32D2D" w:sz="5"/>
              <w:right w:val="single" w:color="A32D2D" w:sz="5"/>
            </w:tcBorders>
            <w:shd w:fill="FCEBEB"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A32D2D"/>
                <w:sz w:val="20"/>
                <w:szCs w:val="20"/>
              </w:rPr>
              <w:t xml:space="preserve">!</w:t>
            </w:r>
          </w:p>
        </w:tc>
        <w:tc>
          <w:tcPr>
            <w:tcW w:type="dxa" w:w="8700"/>
            <w:tcBorders>
              <w:top w:val="single" w:color="A32D2D" w:sz="5"/>
              <w:left w:val="nil" w:color="FFFFFF" w:sz="0"/>
              <w:bottom w:val="single" w:color="A32D2D" w:sz="5"/>
              <w:right w:val="single" w:color="A32D2D" w:sz="5"/>
            </w:tcBorders>
            <w:shd w:fill="FCEBEB"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iCs/>
                <w:color w:val="A32D2D"/>
                <w:sz w:val="18"/>
                <w:szCs w:val="18"/>
              </w:rPr>
              <w:t xml:space="preserve">Une pièce justificative illisible, sans date ou sans montant est considérée comme invalide. L'Ass. Technique doit en obtenir un duplicata ou une déclaration sur l'honneur dans les 24h.</w:t>
            </w:r>
          </w:p>
        </w:tc>
      </w:tr>
    </w:tbl>
    <w:p>
      <w:pPr>
        <w:spacing w:after="80" w:before="80"/>
        <w:jc w:val="left"/>
      </w:pPr>
      <w:r>
        <w:rPr>
          <w:rFonts w:ascii="Arial" w:cs="Arial" w:eastAsia="Arial" w:hAnsi="Arial"/>
          <w:b w:val="false"/>
          <w:bCs w:val="false"/>
          <w:i w:val="false"/>
          <w:iCs w:val="false"/>
          <w:color w:val="2C2C2A"/>
          <w:sz w:val="20"/>
          <w:szCs w:val="20"/>
        </w:rPr>
        <w:t xml:space="preserve"/>
      </w:r>
    </w:p>
    <w:p>
      <w:pPr>
        <w:pBdr>
          <w:bottom w:val="single" w:color="D3D1C7" w:sz="6" w:space="1"/>
        </w:pBdr>
        <w:spacing w:after="40" w:before="40"/>
        <w:jc w:val="left"/>
      </w:pPr>
      <w:r>
        <w:rPr>
          <w:rFonts w:ascii="Arial" w:cs="Arial" w:eastAsia="Arial" w:hAnsi="Arial"/>
          <w:b w:val="false"/>
          <w:bCs w:val="false"/>
          <w:i w:val="false"/>
          <w:iCs w:val="false"/>
          <w:color w:val="2C2C2A"/>
          <w:sz w:val="20"/>
          <w:szCs w:val="20"/>
        </w:rPr>
        <w:t xml:space="preserve"/>
      </w:r>
    </w:p>
    <w:p>
      <w:pPr>
        <w:spacing w:after="80" w:before="0"/>
        <w:jc w:val="center"/>
      </w:pPr>
      <w:r>
        <w:rPr>
          <w:rFonts w:ascii="Arial" w:cs="Arial" w:eastAsia="Arial" w:hAnsi="Arial"/>
          <w:b w:val="false"/>
          <w:bCs w:val="false"/>
          <w:i/>
          <w:iCs/>
          <w:color w:val="5F5E5A"/>
          <w:sz w:val="15"/>
          <w:szCs w:val="15"/>
        </w:rPr>
        <w:t xml:space="preserve">PROC-KL-07   |   KAKO Logistique — Procédures Opérationnelles   |   Document interne confidentiel</w:t>
      </w:r>
    </w:p>
    <w:p>
      <w:pPr>
        <w:spacing w:after="80" w:before="0"/>
        <w:jc w:val="left"/>
      </w:pPr>
      <w:r>
        <w:br w:type="pag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3C3489" w:val="clear"/>
            <w:tcMar>
              <w:top w:type="dxa" w:w="80"/>
              <w:left w:type="dxa" w:w="150"/>
              <w:bottom w:type="dxa" w:w="80"/>
              <w:right w:type="dxa" w:w="150"/>
            </w:tcMar>
            <w:vAlign w:val="center"/>
          </w:tcPr>
          <w:p>
            <w:pPr>
              <w:spacing w:after="6" w:before="40"/>
              <w:jc w:val="center"/>
            </w:pPr>
            <w:r>
              <w:rPr>
                <w:rFonts w:ascii="Arial" w:cs="Arial" w:eastAsia="Arial" w:hAnsi="Arial"/>
                <w:b w:val="false"/>
                <w:bCs w:val="false"/>
                <w:i w:val="false"/>
                <w:iCs w:val="false"/>
                <w:color w:val="CECBF6"/>
                <w:sz w:val="16"/>
                <w:szCs w:val="16"/>
              </w:rPr>
              <w:t xml:space="preserve">KAKO Logistique — Procédures Opérationnelles</w:t>
            </w:r>
          </w:p>
          <w:p>
            <w:pPr>
              <w:spacing w:after="40" w:before="0"/>
              <w:jc w:val="center"/>
            </w:pPr>
            <w:r>
              <w:rPr>
                <w:rFonts w:ascii="Arial" w:cs="Arial" w:eastAsia="Arial" w:hAnsi="Arial"/>
                <w:b/>
                <w:bCs/>
                <w:i w:val="false"/>
                <w:iCs w:val="false"/>
                <w:color w:val="FFFFFF"/>
                <w:sz w:val="24"/>
                <w:szCs w:val="24"/>
              </w:rPr>
              <w:t xml:space="preserve">PROC-KL-08 — Suivi des créances clients</w:t>
            </w:r>
          </w:p>
        </w:tc>
      </w:tr>
      <w:tr>
        <w:tc>
          <w:tcPr>
            <w:tcW w:type="dxa" w:w="9000"/>
            <w:tcBorders>
              <w:top w:val="nil" w:color="FFFFFF" w:sz="0"/>
              <w:left w:val="nil" w:color="FFFFFF" w:sz="0"/>
              <w:bottom w:val="nil" w:color="FFFFFF" w:sz="0"/>
              <w:right w:val="nil" w:color="FFFFFF" w:sz="0"/>
            </w:tcBorders>
            <w:shd w:fill="3C3489" w:val="clear"/>
            <w:tcMar>
              <w:top w:type="dxa" w:w="80"/>
              <w:left w:type="dxa" w:w="150"/>
              <w:bottom w:type="dxa" w:w="80"/>
              <w:right w:type="dxa" w:w="150"/>
            </w:tcMar>
            <w:vAlign w:val="center"/>
          </w:tcPr>
          <w:p>
            <w:pPr>
              <w:spacing w:after="50" w:before="50"/>
              <w:jc w:val="center"/>
            </w:pPr>
            <w:r>
              <w:rPr>
                <w:rFonts w:ascii="Arial" w:cs="Arial" w:eastAsia="Arial" w:hAnsi="Arial"/>
                <w:b w:val="false"/>
                <w:bCs w:val="false"/>
                <w:i w:val="false"/>
                <w:iCs w:val="false"/>
                <w:color w:val="FFFFFF"/>
                <w:sz w:val="17"/>
                <w:szCs w:val="17"/>
              </w:rPr>
              <w:t xml:space="preserve">Catégorie : Financier — Recouvrement   |   Fréquence : Hebdomadaire</w:t>
            </w:r>
          </w:p>
        </w:tc>
      </w:tr>
    </w:tbl>
    <w:p>
      <w:pPr>
        <w:spacing w:after="8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3C3489"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1. Objet</w:t>
            </w:r>
          </w:p>
        </w:tc>
      </w:tr>
    </w:tbl>
    <w:p>
      <w:pPr>
        <w:spacing w:after="80" w:before="50"/>
        <w:jc w:val="left"/>
      </w:pPr>
      <w:r>
        <w:rPr>
          <w:rFonts w:ascii="Arial" w:cs="Arial" w:eastAsia="Arial" w:hAnsi="Arial"/>
          <w:b w:val="false"/>
          <w:bCs w:val="false"/>
          <w:i w:val="false"/>
          <w:iCs w:val="false"/>
          <w:color w:val="2C2C2A"/>
          <w:sz w:val="20"/>
          <w:szCs w:val="20"/>
        </w:rPr>
        <w:t xml:space="preserve"/>
      </w:r>
    </w:p>
    <w:p>
      <w:pPr>
        <w:spacing w:after="80" w:before="0"/>
        <w:jc w:val="left"/>
      </w:pPr>
      <w:r>
        <w:rPr>
          <w:rFonts w:ascii="Arial" w:cs="Arial" w:eastAsia="Arial" w:hAnsi="Arial"/>
          <w:b w:val="false"/>
          <w:bCs w:val="false"/>
          <w:i w:val="false"/>
          <w:iCs w:val="false"/>
          <w:color w:val="2C2C2A"/>
          <w:sz w:val="20"/>
          <w:szCs w:val="20"/>
        </w:rPr>
        <w:t xml:space="preserve">Assurer le suivi rigoureux des factures émises aux clients (internes et externes) et garantir leur recouvrement dans les délais convenus, afin d'éviter l'accumulation d'impayés.</w:t>
      </w:r>
    </w:p>
    <w:p>
      <w:pPr>
        <w:spacing w:after="8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3C3489"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2. Étapes de la procédure</w:t>
            </w:r>
          </w:p>
        </w:tc>
      </w:tr>
    </w:tbl>
    <w:p>
      <w:pPr>
        <w:spacing w:after="80" w:before="5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4200"/>
        <w:gridCol w:w="2200"/>
      </w:tblGrid>
      <w:tr>
        <w:tc>
          <w:tcPr>
            <w:tcW w:type="dxa" w:w="600"/>
            <w:tcBorders>
              <w:top w:val="single" w:color="3C3489" w:sz="4"/>
              <w:left w:val="single" w:color="3C3489" w:sz="4"/>
              <w:bottom w:val="single" w:color="3C3489" w:sz="4"/>
              <w:right w:val="single" w:color="3C3489" w:sz="4"/>
            </w:tcBorders>
            <w:shd w:fill="3C3489"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FFFFFF"/>
                <w:sz w:val="17"/>
                <w:szCs w:val="17"/>
              </w:rPr>
              <w:t xml:space="preserve">Étape</w:t>
            </w:r>
          </w:p>
        </w:tc>
        <w:tc>
          <w:tcPr>
            <w:tcW w:type="dxa" w:w="2000"/>
            <w:tcBorders>
              <w:top w:val="single" w:color="3C3489" w:sz="4"/>
              <w:left w:val="single" w:color="3C3489" w:sz="4"/>
              <w:bottom w:val="single" w:color="3C3489" w:sz="4"/>
              <w:right w:val="single" w:color="3C3489" w:sz="4"/>
            </w:tcBorders>
            <w:shd w:fill="3C3489"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FFFFFF"/>
                <w:sz w:val="17"/>
                <w:szCs w:val="17"/>
              </w:rPr>
              <w:t xml:space="preserve">Acteur</w:t>
            </w:r>
          </w:p>
        </w:tc>
        <w:tc>
          <w:tcPr>
            <w:tcW w:type="dxa" w:w="4200"/>
            <w:tcBorders>
              <w:top w:val="single" w:color="3C3489" w:sz="4"/>
              <w:left w:val="single" w:color="3C3489" w:sz="4"/>
              <w:bottom w:val="single" w:color="3C3489" w:sz="4"/>
              <w:right w:val="single" w:color="3C3489" w:sz="4"/>
            </w:tcBorders>
            <w:shd w:fill="3C3489" w:val="clear"/>
            <w:tcMar>
              <w:top w:type="dxa" w:w="80"/>
              <w:left w:type="dxa" w:w="150"/>
              <w:bottom w:type="dxa" w:w="80"/>
              <w:right w:type="dxa" w:w="150"/>
            </w:tcMar>
            <w:vAlign w:val="center"/>
          </w:tcPr>
          <w:p>
            <w:pPr>
              <w:spacing w:after="80" w:before="0"/>
              <w:jc w:val="left"/>
            </w:pPr>
            <w:r>
              <w:rPr>
                <w:rFonts w:ascii="Arial" w:cs="Arial" w:eastAsia="Arial" w:hAnsi="Arial"/>
                <w:b/>
                <w:bCs/>
                <w:i w:val="false"/>
                <w:iCs w:val="false"/>
                <w:color w:val="FFFFFF"/>
                <w:sz w:val="17"/>
                <w:szCs w:val="17"/>
              </w:rPr>
              <w:t xml:space="preserve">Action à réaliser</w:t>
            </w:r>
          </w:p>
        </w:tc>
        <w:tc>
          <w:tcPr>
            <w:tcW w:type="dxa" w:w="2200"/>
            <w:tcBorders>
              <w:top w:val="single" w:color="3C3489" w:sz="4"/>
              <w:left w:val="single" w:color="3C3489" w:sz="4"/>
              <w:bottom w:val="single" w:color="3C3489" w:sz="4"/>
              <w:right w:val="single" w:color="3C3489" w:sz="4"/>
            </w:tcBorders>
            <w:shd w:fill="3C3489" w:val="clear"/>
            <w:tcMar>
              <w:top w:type="dxa" w:w="80"/>
              <w:left w:type="dxa" w:w="150"/>
              <w:bottom w:type="dxa" w:w="80"/>
              <w:right w:type="dxa" w:w="150"/>
            </w:tcMar>
            <w:vAlign w:val="center"/>
          </w:tcPr>
          <w:p>
            <w:pPr>
              <w:spacing w:after="80" w:before="0"/>
              <w:jc w:val="left"/>
            </w:pPr>
            <w:r>
              <w:rPr>
                <w:rFonts w:ascii="Arial" w:cs="Arial" w:eastAsia="Arial" w:hAnsi="Arial"/>
                <w:b/>
                <w:bCs/>
                <w:i w:val="false"/>
                <w:iCs w:val="false"/>
                <w:color w:val="FFFFFF"/>
                <w:sz w:val="17"/>
                <w:szCs w:val="17"/>
              </w:rPr>
              <w:t xml:space="preserve">Document produit / requis</w:t>
            </w:r>
          </w:p>
        </w:tc>
      </w:tr>
      <w:tr>
        <w:tc>
          <w:tcPr>
            <w:tcW w:type="dxa" w:w="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3C3489"/>
                <w:sz w:val="18"/>
                <w:szCs w:val="18"/>
              </w:rPr>
              <w:t xml:space="preserve">1</w:t>
            </w:r>
          </w:p>
        </w:tc>
        <w:tc>
          <w:tcPr>
            <w:tcW w:type="dxa" w:w="2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Comptable KL (F. Mutwale)</w:t>
            </w:r>
          </w:p>
        </w:tc>
        <w:tc>
          <w:tcPr>
            <w:tcW w:type="dxa" w:w="4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Tient à jour le tableau de suivi des créances clients : numéro facture, date, client, montant, date d'échéance, statut (en attente / partiellement payé / soldé).</w:t>
            </w:r>
          </w:p>
        </w:tc>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Tableau suivi créances</w:t>
            </w:r>
          </w:p>
        </w:tc>
      </w:tr>
      <w:tr>
        <w:tc>
          <w:tcPr>
            <w:tcW w:type="dxa" w:w="6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3C3489"/>
                <w:sz w:val="18"/>
                <w:szCs w:val="18"/>
              </w:rPr>
              <w:t xml:space="preserve">2</w:t>
            </w:r>
          </w:p>
        </w:tc>
        <w:tc>
          <w:tcPr>
            <w:tcW w:type="dxa" w:w="20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Comptable KL</w:t>
            </w:r>
          </w:p>
        </w:tc>
        <w:tc>
          <w:tcPr>
            <w:tcW w:type="dxa" w:w="4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Chaque lundi, édite le rapport des créances : liste des factures échues non payées et des factures à échoir dans les 7 jours. Transmet au DF avec le rapport hebdomadaire.</w:t>
            </w:r>
          </w:p>
        </w:tc>
        <w:tc>
          <w:tcPr>
            <w:tcW w:type="dxa" w:w="2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Rapport créances hebdomadaire</w:t>
            </w:r>
          </w:p>
        </w:tc>
      </w:tr>
      <w:tr>
        <w:tc>
          <w:tcPr>
            <w:tcW w:type="dxa" w:w="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3C3489"/>
                <w:sz w:val="18"/>
                <w:szCs w:val="18"/>
              </w:rPr>
              <w:t xml:space="preserve">3</w:t>
            </w:r>
          </w:p>
        </w:tc>
        <w:tc>
          <w:tcPr>
            <w:tcW w:type="dxa" w:w="2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Directeur Financier</w:t>
            </w:r>
          </w:p>
        </w:tc>
        <w:tc>
          <w:tcPr>
            <w:tcW w:type="dxa" w:w="4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Examine le rapport. Pour toute créance échue : décide de l'action de relance (appel, mail, visite). Instruit l'Ass. Technique ou le Comptable KL en conséquence.</w:t>
            </w:r>
          </w:p>
        </w:tc>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Instructions de relance</w:t>
            </w:r>
          </w:p>
        </w:tc>
      </w:tr>
      <w:tr>
        <w:tc>
          <w:tcPr>
            <w:tcW w:type="dxa" w:w="6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3C3489"/>
                <w:sz w:val="18"/>
                <w:szCs w:val="18"/>
              </w:rPr>
              <w:t xml:space="preserve">4</w:t>
            </w:r>
          </w:p>
        </w:tc>
        <w:tc>
          <w:tcPr>
            <w:tcW w:type="dxa" w:w="20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Ass. Technique / Comptable KL</w:t>
            </w:r>
          </w:p>
        </w:tc>
        <w:tc>
          <w:tcPr>
            <w:tcW w:type="dxa" w:w="4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Effectue la relance selon les instructions du DF. Documente chaque contact (date, interlocuteur, réponse obtenue) dans le tableau de suivi.</w:t>
            </w:r>
          </w:p>
        </w:tc>
        <w:tc>
          <w:tcPr>
            <w:tcW w:type="dxa" w:w="2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Tableau suivi — relances</w:t>
            </w:r>
          </w:p>
        </w:tc>
      </w:tr>
      <w:tr>
        <w:tc>
          <w:tcPr>
            <w:tcW w:type="dxa" w:w="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3C3489"/>
                <w:sz w:val="18"/>
                <w:szCs w:val="18"/>
              </w:rPr>
              <w:t xml:space="preserve">5</w:t>
            </w:r>
          </w:p>
        </w:tc>
        <w:tc>
          <w:tcPr>
            <w:tcW w:type="dxa" w:w="2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Caissière (Likasi)</w:t>
            </w:r>
          </w:p>
        </w:tc>
        <w:tc>
          <w:tcPr>
            <w:tcW w:type="dxa" w:w="4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À réception du paiement, enregistre l'encaissement en journal de caisse ou transmet la preuve bancaire au Comptable KL.</w:t>
            </w:r>
          </w:p>
        </w:tc>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Reçu encaissement / preuve virement</w:t>
            </w:r>
          </w:p>
        </w:tc>
      </w:tr>
      <w:tr>
        <w:tc>
          <w:tcPr>
            <w:tcW w:type="dxa" w:w="6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3C3489"/>
                <w:sz w:val="18"/>
                <w:szCs w:val="18"/>
              </w:rPr>
              <w:t xml:space="preserve">6</w:t>
            </w:r>
          </w:p>
        </w:tc>
        <w:tc>
          <w:tcPr>
            <w:tcW w:type="dxa" w:w="20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Comptable KL</w:t>
            </w:r>
          </w:p>
        </w:tc>
        <w:tc>
          <w:tcPr>
            <w:tcW w:type="dxa" w:w="4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Lettrage du paiement en comptabilité. Met à jour le tableau de suivi — statut « Soldé ».</w:t>
            </w:r>
          </w:p>
        </w:tc>
        <w:tc>
          <w:tcPr>
            <w:tcW w:type="dxa" w:w="2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Journal comptable — lettrage</w:t>
            </w:r>
          </w:p>
        </w:tc>
      </w:tr>
    </w:tbl>
    <w:p>
      <w:pPr>
        <w:spacing w:after="8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5F5E5A"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3. Points de contrôle</w:t>
            </w:r>
          </w:p>
        </w:tc>
      </w:tr>
    </w:tbl>
    <w:p>
      <w:pPr>
        <w:spacing w:after="80" w:before="5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single" w:color="854F0B" w:sz="5"/>
              <w:left w:val="single" w:color="854F0B" w:sz="5"/>
              <w:bottom w:val="single" w:color="854F0B" w:sz="5"/>
              <w:right w:val="single" w:color="854F0B" w:sz="5"/>
            </w:tcBorders>
            <w:shd w:fill="FAEEDA"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854F0B"/>
                <w:sz w:val="20"/>
                <w:szCs w:val="20"/>
              </w:rPr>
              <w:t xml:space="preserve">!</w:t>
            </w:r>
          </w:p>
        </w:tc>
        <w:tc>
          <w:tcPr>
            <w:tcW w:type="dxa" w:w="8700"/>
            <w:tcBorders>
              <w:top w:val="single" w:color="854F0B" w:sz="5"/>
              <w:left w:val="nil" w:color="FFFFFF" w:sz="0"/>
              <w:bottom w:val="single" w:color="854F0B" w:sz="5"/>
              <w:right w:val="single" w:color="854F0B" w:sz="5"/>
            </w:tcBorders>
            <w:shd w:fill="FAEEDA"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iCs/>
                <w:color w:val="854F0B"/>
                <w:sz w:val="18"/>
                <w:szCs w:val="18"/>
              </w:rPr>
              <w:t xml:space="preserve">Toute créance dépassant 30 jours après échéance sans paiement ni accord de report est escaladée à la Direction Générale par le Directeur Financier, avec un mémo de situation.</w:t>
            </w:r>
          </w:p>
        </w:tc>
      </w:tr>
    </w:tbl>
    <w:p>
      <w:pPr>
        <w:spacing w:after="80" w:before="80"/>
        <w:jc w:val="left"/>
      </w:pPr>
      <w:r>
        <w:rPr>
          <w:rFonts w:ascii="Arial" w:cs="Arial" w:eastAsia="Arial" w:hAnsi="Arial"/>
          <w:b w:val="false"/>
          <w:bCs w:val="false"/>
          <w:i w:val="false"/>
          <w:iCs w:val="false"/>
          <w:color w:val="2C2C2A"/>
          <w:sz w:val="20"/>
          <w:szCs w:val="20"/>
        </w:rPr>
        <w:t xml:space="preserve"/>
      </w:r>
    </w:p>
    <w:p>
      <w:pPr>
        <w:pBdr>
          <w:bottom w:val="single" w:color="D3D1C7" w:sz="6" w:space="1"/>
        </w:pBdr>
        <w:spacing w:after="40" w:before="40"/>
        <w:jc w:val="left"/>
      </w:pPr>
      <w:r>
        <w:rPr>
          <w:rFonts w:ascii="Arial" w:cs="Arial" w:eastAsia="Arial" w:hAnsi="Arial"/>
          <w:b w:val="false"/>
          <w:bCs w:val="false"/>
          <w:i w:val="false"/>
          <w:iCs w:val="false"/>
          <w:color w:val="2C2C2A"/>
          <w:sz w:val="20"/>
          <w:szCs w:val="20"/>
        </w:rPr>
        <w:t xml:space="preserve"/>
      </w:r>
    </w:p>
    <w:p>
      <w:pPr>
        <w:spacing w:after="80" w:before="0"/>
        <w:jc w:val="center"/>
      </w:pPr>
      <w:r>
        <w:rPr>
          <w:rFonts w:ascii="Arial" w:cs="Arial" w:eastAsia="Arial" w:hAnsi="Arial"/>
          <w:b w:val="false"/>
          <w:bCs w:val="false"/>
          <w:i/>
          <w:iCs/>
          <w:color w:val="5F5E5A"/>
          <w:sz w:val="15"/>
          <w:szCs w:val="15"/>
        </w:rPr>
        <w:t xml:space="preserve">PROC-KL-08   |   KAKO Logistique — Procédures Opérationnelles   |   Document interne confidentiel</w:t>
      </w:r>
    </w:p>
    <w:p>
      <w:pPr>
        <w:spacing w:after="80" w:before="0"/>
        <w:jc w:val="left"/>
      </w:pPr>
      <w:r>
        <w:br w:type="pag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3C3489" w:val="clear"/>
            <w:tcMar>
              <w:top w:type="dxa" w:w="80"/>
              <w:left w:type="dxa" w:w="150"/>
              <w:bottom w:type="dxa" w:w="80"/>
              <w:right w:type="dxa" w:w="150"/>
            </w:tcMar>
            <w:vAlign w:val="center"/>
          </w:tcPr>
          <w:p>
            <w:pPr>
              <w:spacing w:after="6" w:before="40"/>
              <w:jc w:val="center"/>
            </w:pPr>
            <w:r>
              <w:rPr>
                <w:rFonts w:ascii="Arial" w:cs="Arial" w:eastAsia="Arial" w:hAnsi="Arial"/>
                <w:b w:val="false"/>
                <w:bCs w:val="false"/>
                <w:i w:val="false"/>
                <w:iCs w:val="false"/>
                <w:color w:val="CECBF6"/>
                <w:sz w:val="16"/>
                <w:szCs w:val="16"/>
              </w:rPr>
              <w:t xml:space="preserve">KAKO Logistique — Procédures Opérationnelles</w:t>
            </w:r>
          </w:p>
          <w:p>
            <w:pPr>
              <w:spacing w:after="40" w:before="0"/>
              <w:jc w:val="center"/>
            </w:pPr>
            <w:r>
              <w:rPr>
                <w:rFonts w:ascii="Arial" w:cs="Arial" w:eastAsia="Arial" w:hAnsi="Arial"/>
                <w:b/>
                <w:bCs/>
                <w:i w:val="false"/>
                <w:iCs w:val="false"/>
                <w:color w:val="FFFFFF"/>
                <w:sz w:val="24"/>
                <w:szCs w:val="24"/>
              </w:rPr>
              <w:t xml:space="preserve">PROC-KL-09 — Avances &amp; paiement des chauffeurs / convoyeurs</w:t>
            </w:r>
          </w:p>
        </w:tc>
      </w:tr>
      <w:tr>
        <w:tc>
          <w:tcPr>
            <w:tcW w:type="dxa" w:w="9000"/>
            <w:tcBorders>
              <w:top w:val="nil" w:color="FFFFFF" w:sz="0"/>
              <w:left w:val="nil" w:color="FFFFFF" w:sz="0"/>
              <w:bottom w:val="nil" w:color="FFFFFF" w:sz="0"/>
              <w:right w:val="nil" w:color="FFFFFF" w:sz="0"/>
            </w:tcBorders>
            <w:shd w:fill="A32D2D" w:val="clear"/>
            <w:tcMar>
              <w:top w:type="dxa" w:w="80"/>
              <w:left w:type="dxa" w:w="150"/>
              <w:bottom w:type="dxa" w:w="80"/>
              <w:right w:type="dxa" w:w="150"/>
            </w:tcMar>
            <w:vAlign w:val="center"/>
          </w:tcPr>
          <w:p>
            <w:pPr>
              <w:spacing w:after="50" w:before="50"/>
              <w:jc w:val="center"/>
            </w:pPr>
            <w:r>
              <w:rPr>
                <w:rFonts w:ascii="Arial" w:cs="Arial" w:eastAsia="Arial" w:hAnsi="Arial"/>
                <w:b w:val="false"/>
                <w:bCs w:val="false"/>
                <w:i w:val="false"/>
                <w:iCs w:val="false"/>
                <w:color w:val="FFFFFF"/>
                <w:sz w:val="17"/>
                <w:szCs w:val="17"/>
              </w:rPr>
              <w:t xml:space="preserve">Catégorie : Ressources humaines — Opérationnel   |   Fréquence : Sur besoin + mensuel</w:t>
            </w:r>
          </w:p>
        </w:tc>
      </w:tr>
    </w:tbl>
    <w:p>
      <w:pPr>
        <w:spacing w:after="8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3C3489"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18"/>
                <w:szCs w:val="18"/>
              </w:rPr>
              <w:t xml:space="preserve">Circuit de base — système d'avances à justifier</w:t>
            </w:r>
          </w:p>
        </w:tc>
      </w:tr>
    </w:tbl>
    <w:p>
      <w:pPr>
        <w:spacing w:after="80" w:before="4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c>
          <w:tcPr>
            <w:tcW w:type="dxa" w:w="1500"/>
            <w:tcBorders>
              <w:top w:val="single" w:color="3C3489" w:sz="3"/>
              <w:left w:val="single" w:color="3C3489" w:sz="3"/>
              <w:bottom w:val="single" w:color="3C3489" w:sz="3"/>
              <w:right w:val="single" w:color="3C3489" w:sz="3"/>
            </w:tcBorders>
            <w:shd w:fill="EEEDFE" w:val="clear"/>
            <w:tcMar>
              <w:top w:type="dxa" w:w="80"/>
              <w:left w:type="dxa" w:w="150"/>
              <w:bottom w:type="dxa" w:w="80"/>
              <w:right w:type="dxa" w:w="150"/>
            </w:tcMar>
            <w:vAlign w:val="center"/>
          </w:tcPr>
          <w:p>
            <w:pPr>
              <w:spacing w:after="50" w:before="50"/>
              <w:jc w:val="center"/>
            </w:pPr>
            <w:r>
              <w:rPr>
                <w:rFonts w:ascii="Arial" w:cs="Arial" w:eastAsia="Arial" w:hAnsi="Arial"/>
                <w:b/>
                <w:bCs/>
                <w:i w:val="false"/>
                <w:iCs w:val="false"/>
                <w:color w:val="3C3489"/>
                <w:sz w:val="16"/>
                <w:szCs w:val="16"/>
              </w:rPr>
              <w:t xml:space="preserve">Réquisition</w:t>
            </w:r>
          </w:p>
        </w:tc>
        <w:tc>
          <w:tcPr>
            <w:tcW w:type="dxa" w:w="1500"/>
            <w:tcBorders>
              <w:top w:val="single" w:color="0F6E56" w:sz="3"/>
              <w:left w:val="single" w:color="0F6E56" w:sz="3"/>
              <w:bottom w:val="single" w:color="0F6E56" w:sz="3"/>
              <w:right w:val="single" w:color="0F6E56" w:sz="3"/>
            </w:tcBorders>
            <w:shd w:fill="E1F5EE" w:val="clear"/>
            <w:tcMar>
              <w:top w:type="dxa" w:w="80"/>
              <w:left w:type="dxa" w:w="150"/>
              <w:bottom w:type="dxa" w:w="80"/>
              <w:right w:type="dxa" w:w="150"/>
            </w:tcMar>
            <w:vAlign w:val="center"/>
          </w:tcPr>
          <w:p>
            <w:pPr>
              <w:spacing w:after="50" w:before="50"/>
              <w:jc w:val="center"/>
            </w:pPr>
            <w:r>
              <w:rPr>
                <w:rFonts w:ascii="Arial" w:cs="Arial" w:eastAsia="Arial" w:hAnsi="Arial"/>
                <w:b/>
                <w:bCs/>
                <w:i w:val="false"/>
                <w:iCs w:val="false"/>
                <w:color w:val="0F6E56"/>
                <w:sz w:val="16"/>
                <w:szCs w:val="16"/>
              </w:rPr>
              <w:t xml:space="preserve">Validation DF</w:t>
            </w:r>
          </w:p>
        </w:tc>
        <w:tc>
          <w:tcPr>
            <w:tcW w:type="dxa" w:w="1500"/>
            <w:tcBorders>
              <w:top w:val="single" w:color="854F0B" w:sz="3"/>
              <w:left w:val="single" w:color="854F0B" w:sz="3"/>
              <w:bottom w:val="single" w:color="854F0B" w:sz="3"/>
              <w:right w:val="single" w:color="854F0B" w:sz="3"/>
            </w:tcBorders>
            <w:shd w:fill="FAEEDA" w:val="clear"/>
            <w:tcMar>
              <w:top w:type="dxa" w:w="80"/>
              <w:left w:type="dxa" w:w="150"/>
              <w:bottom w:type="dxa" w:w="80"/>
              <w:right w:type="dxa" w:w="150"/>
            </w:tcMar>
            <w:vAlign w:val="center"/>
          </w:tcPr>
          <w:p>
            <w:pPr>
              <w:spacing w:after="50" w:before="50"/>
              <w:jc w:val="center"/>
            </w:pPr>
            <w:r>
              <w:rPr>
                <w:rFonts w:ascii="Arial" w:cs="Arial" w:eastAsia="Arial" w:hAnsi="Arial"/>
                <w:b/>
                <w:bCs/>
                <w:i w:val="false"/>
                <w:iCs w:val="false"/>
                <w:color w:val="854F0B"/>
                <w:sz w:val="16"/>
                <w:szCs w:val="16"/>
              </w:rPr>
              <w:t xml:space="preserve">Sortie de fonds</w:t>
            </w:r>
          </w:p>
        </w:tc>
        <w:tc>
          <w:tcPr>
            <w:tcW w:type="dxa" w:w="1500"/>
            <w:tcBorders>
              <w:top w:val="single" w:color="5F5E5A" w:sz="3"/>
              <w:left w:val="single" w:color="5F5E5A" w:sz="3"/>
              <w:bottom w:val="single" w:color="5F5E5A" w:sz="3"/>
              <w:right w:val="single" w:color="5F5E5A" w:sz="3"/>
            </w:tcBorders>
            <w:shd w:fill="F1EFE8" w:val="clear"/>
            <w:tcMar>
              <w:top w:type="dxa" w:w="80"/>
              <w:left w:type="dxa" w:w="150"/>
              <w:bottom w:type="dxa" w:w="80"/>
              <w:right w:type="dxa" w:w="150"/>
            </w:tcMar>
            <w:vAlign w:val="center"/>
          </w:tcPr>
          <w:p>
            <w:pPr>
              <w:spacing w:after="50" w:before="50"/>
              <w:jc w:val="center"/>
            </w:pPr>
            <w:r>
              <w:rPr>
                <w:rFonts w:ascii="Arial" w:cs="Arial" w:eastAsia="Arial" w:hAnsi="Arial"/>
                <w:b/>
                <w:bCs/>
                <w:i w:val="false"/>
                <w:iCs w:val="false"/>
                <w:color w:val="5F5E5A"/>
                <w:sz w:val="16"/>
                <w:szCs w:val="16"/>
              </w:rPr>
              <w:t xml:space="preserve">Exécution</w:t>
            </w:r>
          </w:p>
        </w:tc>
        <w:tc>
          <w:tcPr>
            <w:tcW w:type="dxa" w:w="1500"/>
            <w:tcBorders>
              <w:top w:val="single" w:color="993C1D" w:sz="3"/>
              <w:left w:val="single" w:color="993C1D" w:sz="3"/>
              <w:bottom w:val="single" w:color="993C1D" w:sz="3"/>
              <w:right w:val="single" w:color="993C1D" w:sz="3"/>
            </w:tcBorders>
            <w:shd w:fill="FAECE7" w:val="clear"/>
            <w:tcMar>
              <w:top w:type="dxa" w:w="80"/>
              <w:left w:type="dxa" w:w="150"/>
              <w:bottom w:type="dxa" w:w="80"/>
              <w:right w:type="dxa" w:w="150"/>
            </w:tcMar>
            <w:vAlign w:val="center"/>
          </w:tcPr>
          <w:p>
            <w:pPr>
              <w:spacing w:after="50" w:before="50"/>
              <w:jc w:val="center"/>
            </w:pPr>
            <w:r>
              <w:rPr>
                <w:rFonts w:ascii="Arial" w:cs="Arial" w:eastAsia="Arial" w:hAnsi="Arial"/>
                <w:b/>
                <w:bCs/>
                <w:i w:val="false"/>
                <w:iCs w:val="false"/>
                <w:color w:val="993C1D"/>
                <w:sz w:val="16"/>
                <w:szCs w:val="16"/>
              </w:rPr>
              <w:t xml:space="preserve">Justification</w:t>
            </w:r>
          </w:p>
        </w:tc>
        <w:tc>
          <w:tcPr>
            <w:tcW w:type="dxa" w:w="1500"/>
            <w:tcBorders>
              <w:top w:val="single" w:color="3C3489" w:sz="3"/>
              <w:left w:val="single" w:color="3C3489" w:sz="3"/>
              <w:bottom w:val="single" w:color="3C3489" w:sz="3"/>
              <w:right w:val="single" w:color="3C3489" w:sz="3"/>
            </w:tcBorders>
            <w:shd w:fill="EEEDFE" w:val="clear"/>
            <w:tcMar>
              <w:top w:type="dxa" w:w="80"/>
              <w:left w:type="dxa" w:w="150"/>
              <w:bottom w:type="dxa" w:w="80"/>
              <w:right w:type="dxa" w:w="150"/>
            </w:tcMar>
            <w:vAlign w:val="center"/>
          </w:tcPr>
          <w:p>
            <w:pPr>
              <w:spacing w:after="50" w:before="50"/>
              <w:jc w:val="center"/>
            </w:pPr>
            <w:r>
              <w:rPr>
                <w:rFonts w:ascii="Arial" w:cs="Arial" w:eastAsia="Arial" w:hAnsi="Arial"/>
                <w:b/>
                <w:bCs/>
                <w:i w:val="false"/>
                <w:iCs w:val="false"/>
                <w:color w:val="3C3489"/>
                <w:sz w:val="16"/>
                <w:szCs w:val="16"/>
              </w:rPr>
              <w:t xml:space="preserve">Comptabilisation</w:t>
            </w:r>
          </w:p>
        </w:tc>
      </w:tr>
    </w:tbl>
    <w:p>
      <w:pPr>
        <w:spacing w:after="80" w:before="12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A32D2D"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1. Objet</w:t>
            </w:r>
          </w:p>
        </w:tc>
      </w:tr>
    </w:tbl>
    <w:p>
      <w:pPr>
        <w:spacing w:after="80" w:before="50"/>
        <w:jc w:val="left"/>
      </w:pPr>
      <w:r>
        <w:rPr>
          <w:rFonts w:ascii="Arial" w:cs="Arial" w:eastAsia="Arial" w:hAnsi="Arial"/>
          <w:b w:val="false"/>
          <w:bCs w:val="false"/>
          <w:i w:val="false"/>
          <w:iCs w:val="false"/>
          <w:color w:val="2C2C2A"/>
          <w:sz w:val="20"/>
          <w:szCs w:val="20"/>
        </w:rPr>
        <w:t xml:space="preserve"/>
      </w:r>
    </w:p>
    <w:p>
      <w:pPr>
        <w:spacing w:after="80" w:before="0"/>
        <w:jc w:val="left"/>
      </w:pPr>
      <w:r>
        <w:rPr>
          <w:rFonts w:ascii="Arial" w:cs="Arial" w:eastAsia="Arial" w:hAnsi="Arial"/>
          <w:b w:val="false"/>
          <w:bCs w:val="false"/>
          <w:i w:val="false"/>
          <w:iCs w:val="false"/>
          <w:color w:val="2C2C2A"/>
          <w:sz w:val="20"/>
          <w:szCs w:val="20"/>
        </w:rPr>
        <w:t xml:space="preserve">Encadrer les avances accordées aux chauffeurs et convoyeurs avant ou pendant une course, ainsi que le paiement de leurs rémunérations périodiques, dans le cadre du système d'avances à justifier du groupe.</w:t>
      </w:r>
    </w:p>
    <w:p>
      <w:pPr>
        <w:spacing w:after="8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A32D2D"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2. Types de paiements concernés</w:t>
            </w:r>
          </w:p>
        </w:tc>
      </w:tr>
    </w:tbl>
    <w:p>
      <w:pPr>
        <w:spacing w:after="80" w:before="5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4200"/>
        <w:gridCol w:w="1800"/>
      </w:tblGrid>
      <w:tr>
        <w:tc>
          <w:tcPr>
            <w:tcW w:type="dxa" w:w="3000"/>
            <w:tcBorders>
              <w:top w:val="single" w:color="A32D2D" w:sz="4"/>
              <w:left w:val="single" w:color="A32D2D" w:sz="4"/>
              <w:bottom w:val="single" w:color="A32D2D" w:sz="4"/>
              <w:right w:val="single" w:color="A32D2D" w:sz="4"/>
            </w:tcBorders>
            <w:shd w:fill="A32D2D" w:val="clear"/>
            <w:tcMar>
              <w:top w:type="dxa" w:w="80"/>
              <w:left w:type="dxa" w:w="150"/>
              <w:bottom w:type="dxa" w:w="80"/>
              <w:right w:type="dxa" w:w="150"/>
            </w:tcMar>
            <w:vAlign w:val="center"/>
          </w:tcPr>
          <w:p>
            <w:pPr>
              <w:spacing w:after="80" w:before="0"/>
              <w:jc w:val="left"/>
            </w:pPr>
            <w:r>
              <w:rPr>
                <w:rFonts w:ascii="Arial" w:cs="Arial" w:eastAsia="Arial" w:hAnsi="Arial"/>
                <w:b/>
                <w:bCs/>
                <w:i w:val="false"/>
                <w:iCs w:val="false"/>
                <w:color w:val="FFFFFF"/>
                <w:sz w:val="17"/>
                <w:szCs w:val="17"/>
              </w:rPr>
              <w:t xml:space="preserve">Type</w:t>
            </w:r>
          </w:p>
        </w:tc>
        <w:tc>
          <w:tcPr>
            <w:tcW w:type="dxa" w:w="4200"/>
            <w:tcBorders>
              <w:top w:val="single" w:color="A32D2D" w:sz="4"/>
              <w:left w:val="single" w:color="A32D2D" w:sz="4"/>
              <w:bottom w:val="single" w:color="A32D2D" w:sz="4"/>
              <w:right w:val="single" w:color="A32D2D" w:sz="4"/>
            </w:tcBorders>
            <w:shd w:fill="A32D2D" w:val="clear"/>
            <w:tcMar>
              <w:top w:type="dxa" w:w="80"/>
              <w:left w:type="dxa" w:w="150"/>
              <w:bottom w:type="dxa" w:w="80"/>
              <w:right w:type="dxa" w:w="150"/>
            </w:tcMar>
            <w:vAlign w:val="center"/>
          </w:tcPr>
          <w:p>
            <w:pPr>
              <w:spacing w:after="80" w:before="0"/>
              <w:jc w:val="left"/>
            </w:pPr>
            <w:r>
              <w:rPr>
                <w:rFonts w:ascii="Arial" w:cs="Arial" w:eastAsia="Arial" w:hAnsi="Arial"/>
                <w:b/>
                <w:bCs/>
                <w:i w:val="false"/>
                <w:iCs w:val="false"/>
                <w:color w:val="FFFFFF"/>
                <w:sz w:val="17"/>
                <w:szCs w:val="17"/>
              </w:rPr>
              <w:t xml:space="preserve">Description</w:t>
            </w:r>
          </w:p>
        </w:tc>
        <w:tc>
          <w:tcPr>
            <w:tcW w:type="dxa" w:w="1800"/>
            <w:tcBorders>
              <w:top w:val="single" w:color="A32D2D" w:sz="4"/>
              <w:left w:val="single" w:color="A32D2D" w:sz="4"/>
              <w:bottom w:val="single" w:color="A32D2D" w:sz="4"/>
              <w:right w:val="single" w:color="A32D2D" w:sz="4"/>
            </w:tcBorders>
            <w:shd w:fill="A32D2D"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FFFFFF"/>
                <w:sz w:val="17"/>
                <w:szCs w:val="17"/>
              </w:rPr>
              <w:t xml:space="preserve">Fréquence</w:t>
            </w:r>
          </w:p>
        </w:tc>
      </w:tr>
      <w:tr>
        <w:tc>
          <w:tcPr>
            <w:tcW w:type="dxa" w:w="3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left"/>
            </w:pPr>
            <w:r>
              <w:rPr>
                <w:rFonts w:ascii="Arial" w:cs="Arial" w:eastAsia="Arial" w:hAnsi="Arial"/>
                <w:b/>
                <w:bCs/>
                <w:i w:val="false"/>
                <w:iCs w:val="false"/>
                <w:color w:val="A32D2D"/>
                <w:sz w:val="18"/>
                <w:szCs w:val="18"/>
              </w:rPr>
              <w:t xml:space="preserve">Avance de route</w:t>
            </w:r>
          </w:p>
        </w:tc>
        <w:tc>
          <w:tcPr>
            <w:tcW w:type="dxa" w:w="4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val="false"/>
                <w:iCs w:val="false"/>
                <w:color w:val="2C2C2A"/>
                <w:sz w:val="18"/>
                <w:szCs w:val="18"/>
              </w:rPr>
              <w:t xml:space="preserve">Somme remise au chauffeur pour ses besoins personnels pendant la course (restauration, hébergement si nuit hors base)</w:t>
            </w:r>
          </w:p>
        </w:tc>
        <w:tc>
          <w:tcPr>
            <w:tcW w:type="dxa" w:w="18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val="false"/>
                <w:bCs w:val="false"/>
                <w:i/>
                <w:iCs/>
                <w:color w:val="5F5E5A"/>
                <w:sz w:val="17"/>
                <w:szCs w:val="17"/>
              </w:rPr>
              <w:t xml:space="preserve">Par course</w:t>
            </w:r>
          </w:p>
        </w:tc>
      </w:tr>
      <w:tr>
        <w:tc>
          <w:tcPr>
            <w:tcW w:type="dxa" w:w="3000"/>
            <w:tcBorders>
              <w:top w:val="single" w:color="D3D1C7" w:sz="3"/>
              <w:left w:val="single" w:color="D3D1C7" w:sz="3"/>
              <w:bottom w:val="single" w:color="D3D1C7" w:sz="3"/>
              <w:right w:val="single" w:color="D3D1C7" w:sz="3"/>
            </w:tcBorders>
            <w:shd w:fill="FCEBEB" w:val="clear"/>
            <w:tcMar>
              <w:top w:type="dxa" w:w="80"/>
              <w:left w:type="dxa" w:w="150"/>
              <w:bottom w:type="dxa" w:w="80"/>
              <w:right w:type="dxa" w:w="150"/>
            </w:tcMar>
            <w:vAlign w:val="center"/>
          </w:tcPr>
          <w:p>
            <w:pPr>
              <w:spacing w:after="80" w:before="0"/>
              <w:jc w:val="left"/>
            </w:pPr>
            <w:r>
              <w:rPr>
                <w:rFonts w:ascii="Arial" w:cs="Arial" w:eastAsia="Arial" w:hAnsi="Arial"/>
                <w:b/>
                <w:bCs/>
                <w:i w:val="false"/>
                <w:iCs w:val="false"/>
                <w:color w:val="A32D2D"/>
                <w:sz w:val="18"/>
                <w:szCs w:val="18"/>
              </w:rPr>
              <w:t xml:space="preserve">Prime de course</w:t>
            </w:r>
          </w:p>
        </w:tc>
        <w:tc>
          <w:tcPr>
            <w:tcW w:type="dxa" w:w="4200"/>
            <w:tcBorders>
              <w:top w:val="single" w:color="D3D1C7" w:sz="3"/>
              <w:left w:val="single" w:color="D3D1C7" w:sz="3"/>
              <w:bottom w:val="single" w:color="D3D1C7" w:sz="3"/>
              <w:right w:val="single" w:color="D3D1C7" w:sz="3"/>
            </w:tcBorders>
            <w:shd w:fill="FCEBEB"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val="false"/>
                <w:iCs w:val="false"/>
                <w:color w:val="2C2C2A"/>
                <w:sz w:val="18"/>
                <w:szCs w:val="18"/>
              </w:rPr>
              <w:t xml:space="preserve">Rémunération variable liée au nombre de courses effectuées</w:t>
            </w:r>
          </w:p>
        </w:tc>
        <w:tc>
          <w:tcPr>
            <w:tcW w:type="dxa" w:w="1800"/>
            <w:tcBorders>
              <w:top w:val="single" w:color="D3D1C7" w:sz="3"/>
              <w:left w:val="single" w:color="D3D1C7" w:sz="3"/>
              <w:bottom w:val="single" w:color="D3D1C7" w:sz="3"/>
              <w:right w:val="single" w:color="D3D1C7" w:sz="3"/>
            </w:tcBorders>
            <w:shd w:fill="FCEBEB" w:val="clear"/>
            <w:tcMar>
              <w:top w:type="dxa" w:w="80"/>
              <w:left w:type="dxa" w:w="150"/>
              <w:bottom w:type="dxa" w:w="80"/>
              <w:right w:type="dxa" w:w="150"/>
            </w:tcMar>
            <w:vAlign w:val="center"/>
          </w:tcPr>
          <w:p>
            <w:pPr>
              <w:spacing w:after="80" w:before="0"/>
              <w:jc w:val="center"/>
            </w:pPr>
            <w:r>
              <w:rPr>
                <w:rFonts w:ascii="Arial" w:cs="Arial" w:eastAsia="Arial" w:hAnsi="Arial"/>
                <w:b w:val="false"/>
                <w:bCs w:val="false"/>
                <w:i/>
                <w:iCs/>
                <w:color w:val="5F5E5A"/>
                <w:sz w:val="17"/>
                <w:szCs w:val="17"/>
              </w:rPr>
              <w:t xml:space="preserve">Mensuel</w:t>
            </w:r>
          </w:p>
        </w:tc>
      </w:tr>
      <w:tr>
        <w:tc>
          <w:tcPr>
            <w:tcW w:type="dxa" w:w="3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left"/>
            </w:pPr>
            <w:r>
              <w:rPr>
                <w:rFonts w:ascii="Arial" w:cs="Arial" w:eastAsia="Arial" w:hAnsi="Arial"/>
                <w:b/>
                <w:bCs/>
                <w:i w:val="false"/>
                <w:iCs w:val="false"/>
                <w:color w:val="A32D2D"/>
                <w:sz w:val="18"/>
                <w:szCs w:val="18"/>
              </w:rPr>
              <w:t xml:space="preserve">Salaire / honoraires</w:t>
            </w:r>
          </w:p>
        </w:tc>
        <w:tc>
          <w:tcPr>
            <w:tcW w:type="dxa" w:w="4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val="false"/>
                <w:iCs w:val="false"/>
                <w:color w:val="2C2C2A"/>
                <w:sz w:val="18"/>
                <w:szCs w:val="18"/>
              </w:rPr>
              <w:t xml:space="preserve">Rémunération fixe mensuelle du chauffeur ou convoyeur</w:t>
            </w:r>
          </w:p>
        </w:tc>
        <w:tc>
          <w:tcPr>
            <w:tcW w:type="dxa" w:w="18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val="false"/>
                <w:bCs w:val="false"/>
                <w:i/>
                <w:iCs/>
                <w:color w:val="5F5E5A"/>
                <w:sz w:val="17"/>
                <w:szCs w:val="17"/>
              </w:rPr>
              <w:t xml:space="preserve">Mensuel</w:t>
            </w:r>
          </w:p>
        </w:tc>
      </w:tr>
      <w:tr>
        <w:tc>
          <w:tcPr>
            <w:tcW w:type="dxa" w:w="3000"/>
            <w:tcBorders>
              <w:top w:val="single" w:color="D3D1C7" w:sz="3"/>
              <w:left w:val="single" w:color="D3D1C7" w:sz="3"/>
              <w:bottom w:val="single" w:color="D3D1C7" w:sz="3"/>
              <w:right w:val="single" w:color="D3D1C7" w:sz="3"/>
            </w:tcBorders>
            <w:shd w:fill="FCEBEB" w:val="clear"/>
            <w:tcMar>
              <w:top w:type="dxa" w:w="80"/>
              <w:left w:type="dxa" w:w="150"/>
              <w:bottom w:type="dxa" w:w="80"/>
              <w:right w:type="dxa" w:w="150"/>
            </w:tcMar>
            <w:vAlign w:val="center"/>
          </w:tcPr>
          <w:p>
            <w:pPr>
              <w:spacing w:after="80" w:before="0"/>
              <w:jc w:val="left"/>
            </w:pPr>
            <w:r>
              <w:rPr>
                <w:rFonts w:ascii="Arial" w:cs="Arial" w:eastAsia="Arial" w:hAnsi="Arial"/>
                <w:b/>
                <w:bCs/>
                <w:i w:val="false"/>
                <w:iCs w:val="false"/>
                <w:color w:val="A32D2D"/>
                <w:sz w:val="18"/>
                <w:szCs w:val="18"/>
              </w:rPr>
              <w:t xml:space="preserve">Avance sur salaire</w:t>
            </w:r>
          </w:p>
        </w:tc>
        <w:tc>
          <w:tcPr>
            <w:tcW w:type="dxa" w:w="4200"/>
            <w:tcBorders>
              <w:top w:val="single" w:color="D3D1C7" w:sz="3"/>
              <w:left w:val="single" w:color="D3D1C7" w:sz="3"/>
              <w:bottom w:val="single" w:color="D3D1C7" w:sz="3"/>
              <w:right w:val="single" w:color="D3D1C7" w:sz="3"/>
            </w:tcBorders>
            <w:shd w:fill="FCEBEB"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val="false"/>
                <w:iCs w:val="false"/>
                <w:color w:val="2C2C2A"/>
                <w:sz w:val="18"/>
                <w:szCs w:val="18"/>
              </w:rPr>
              <w:t xml:space="preserve">Avance exceptionnelle accordée sur demande, à déduire de la paie</w:t>
            </w:r>
          </w:p>
        </w:tc>
        <w:tc>
          <w:tcPr>
            <w:tcW w:type="dxa" w:w="1800"/>
            <w:tcBorders>
              <w:top w:val="single" w:color="D3D1C7" w:sz="3"/>
              <w:left w:val="single" w:color="D3D1C7" w:sz="3"/>
              <w:bottom w:val="single" w:color="D3D1C7" w:sz="3"/>
              <w:right w:val="single" w:color="D3D1C7" w:sz="3"/>
            </w:tcBorders>
            <w:shd w:fill="FCEBEB" w:val="clear"/>
            <w:tcMar>
              <w:top w:type="dxa" w:w="80"/>
              <w:left w:type="dxa" w:w="150"/>
              <w:bottom w:type="dxa" w:w="80"/>
              <w:right w:type="dxa" w:w="150"/>
            </w:tcMar>
            <w:vAlign w:val="center"/>
          </w:tcPr>
          <w:p>
            <w:pPr>
              <w:spacing w:after="80" w:before="0"/>
              <w:jc w:val="center"/>
            </w:pPr>
            <w:r>
              <w:rPr>
                <w:rFonts w:ascii="Arial" w:cs="Arial" w:eastAsia="Arial" w:hAnsi="Arial"/>
                <w:b w:val="false"/>
                <w:bCs w:val="false"/>
                <w:i/>
                <w:iCs/>
                <w:color w:val="5F5E5A"/>
                <w:sz w:val="17"/>
                <w:szCs w:val="17"/>
              </w:rPr>
              <w:t xml:space="preserve">Sur demande</w:t>
            </w:r>
          </w:p>
        </w:tc>
      </w:tr>
    </w:tbl>
    <w:p>
      <w:pPr>
        <w:spacing w:after="8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A32D2D"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3. Étapes de la procédure — Avance de route</w:t>
            </w:r>
          </w:p>
        </w:tc>
      </w:tr>
    </w:tbl>
    <w:p>
      <w:pPr>
        <w:spacing w:after="80" w:before="5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4200"/>
        <w:gridCol w:w="2200"/>
      </w:tblGrid>
      <w:tr>
        <w:tc>
          <w:tcPr>
            <w:tcW w:type="dxa" w:w="600"/>
            <w:tcBorders>
              <w:top w:val="single" w:color="A32D2D" w:sz="4"/>
              <w:left w:val="single" w:color="A32D2D" w:sz="4"/>
              <w:bottom w:val="single" w:color="A32D2D" w:sz="4"/>
              <w:right w:val="single" w:color="A32D2D" w:sz="4"/>
            </w:tcBorders>
            <w:shd w:fill="A32D2D"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FFFFFF"/>
                <w:sz w:val="17"/>
                <w:szCs w:val="17"/>
              </w:rPr>
              <w:t xml:space="preserve">Étape</w:t>
            </w:r>
          </w:p>
        </w:tc>
        <w:tc>
          <w:tcPr>
            <w:tcW w:type="dxa" w:w="2000"/>
            <w:tcBorders>
              <w:top w:val="single" w:color="A32D2D" w:sz="4"/>
              <w:left w:val="single" w:color="A32D2D" w:sz="4"/>
              <w:bottom w:val="single" w:color="A32D2D" w:sz="4"/>
              <w:right w:val="single" w:color="A32D2D" w:sz="4"/>
            </w:tcBorders>
            <w:shd w:fill="A32D2D"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FFFFFF"/>
                <w:sz w:val="17"/>
                <w:szCs w:val="17"/>
              </w:rPr>
              <w:t xml:space="preserve">Acteur</w:t>
            </w:r>
          </w:p>
        </w:tc>
        <w:tc>
          <w:tcPr>
            <w:tcW w:type="dxa" w:w="4200"/>
            <w:tcBorders>
              <w:top w:val="single" w:color="A32D2D" w:sz="4"/>
              <w:left w:val="single" w:color="A32D2D" w:sz="4"/>
              <w:bottom w:val="single" w:color="A32D2D" w:sz="4"/>
              <w:right w:val="single" w:color="A32D2D" w:sz="4"/>
            </w:tcBorders>
            <w:shd w:fill="A32D2D" w:val="clear"/>
            <w:tcMar>
              <w:top w:type="dxa" w:w="80"/>
              <w:left w:type="dxa" w:w="150"/>
              <w:bottom w:type="dxa" w:w="80"/>
              <w:right w:type="dxa" w:w="150"/>
            </w:tcMar>
            <w:vAlign w:val="center"/>
          </w:tcPr>
          <w:p>
            <w:pPr>
              <w:spacing w:after="80" w:before="0"/>
              <w:jc w:val="left"/>
            </w:pPr>
            <w:r>
              <w:rPr>
                <w:rFonts w:ascii="Arial" w:cs="Arial" w:eastAsia="Arial" w:hAnsi="Arial"/>
                <w:b/>
                <w:bCs/>
                <w:i w:val="false"/>
                <w:iCs w:val="false"/>
                <w:color w:val="FFFFFF"/>
                <w:sz w:val="17"/>
                <w:szCs w:val="17"/>
              </w:rPr>
              <w:t xml:space="preserve">Action à réaliser</w:t>
            </w:r>
          </w:p>
        </w:tc>
        <w:tc>
          <w:tcPr>
            <w:tcW w:type="dxa" w:w="2200"/>
            <w:tcBorders>
              <w:top w:val="single" w:color="A32D2D" w:sz="4"/>
              <w:left w:val="single" w:color="A32D2D" w:sz="4"/>
              <w:bottom w:val="single" w:color="A32D2D" w:sz="4"/>
              <w:right w:val="single" w:color="A32D2D" w:sz="4"/>
            </w:tcBorders>
            <w:shd w:fill="A32D2D" w:val="clear"/>
            <w:tcMar>
              <w:top w:type="dxa" w:w="80"/>
              <w:left w:type="dxa" w:w="150"/>
              <w:bottom w:type="dxa" w:w="80"/>
              <w:right w:type="dxa" w:w="150"/>
            </w:tcMar>
            <w:vAlign w:val="center"/>
          </w:tcPr>
          <w:p>
            <w:pPr>
              <w:spacing w:after="80" w:before="0"/>
              <w:jc w:val="left"/>
            </w:pPr>
            <w:r>
              <w:rPr>
                <w:rFonts w:ascii="Arial" w:cs="Arial" w:eastAsia="Arial" w:hAnsi="Arial"/>
                <w:b/>
                <w:bCs/>
                <w:i w:val="false"/>
                <w:iCs w:val="false"/>
                <w:color w:val="FFFFFF"/>
                <w:sz w:val="17"/>
                <w:szCs w:val="17"/>
              </w:rPr>
              <w:t xml:space="preserve">Document produit / requis</w:t>
            </w:r>
          </w:p>
        </w:tc>
      </w:tr>
      <w:tr>
        <w:tc>
          <w:tcPr>
            <w:tcW w:type="dxa" w:w="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A32D2D"/>
                <w:sz w:val="18"/>
                <w:szCs w:val="18"/>
              </w:rPr>
              <w:t xml:space="preserve">1</w:t>
            </w:r>
          </w:p>
        </w:tc>
        <w:tc>
          <w:tcPr>
            <w:tcW w:type="dxa" w:w="2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Ass. Technique</w:t>
            </w:r>
          </w:p>
        </w:tc>
        <w:tc>
          <w:tcPr>
            <w:tcW w:type="dxa" w:w="4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Inclut le montant de l'avance de route du chauffeur dans la Réquisition de fonds de la course (voir PROC-KL-02). L'avance de route est une composante de la Réquisition globale.</w:t>
            </w:r>
          </w:p>
        </w:tc>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Réquisition de fonds (PROC-KL-02)</w:t>
            </w:r>
          </w:p>
        </w:tc>
      </w:tr>
      <w:tr>
        <w:tc>
          <w:tcPr>
            <w:tcW w:type="dxa" w:w="6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A32D2D"/>
                <w:sz w:val="18"/>
                <w:szCs w:val="18"/>
              </w:rPr>
              <w:t xml:space="preserve">2</w:t>
            </w:r>
          </w:p>
        </w:tc>
        <w:tc>
          <w:tcPr>
            <w:tcW w:type="dxa" w:w="20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Ass. Technique</w:t>
            </w:r>
          </w:p>
        </w:tc>
        <w:tc>
          <w:tcPr>
            <w:tcW w:type="dxa" w:w="4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À la clôture de la course, récupère auprès du chauffeur les justificatifs de dépenses de route (reçus repas, hébergement) et le solde non utilisé.</w:t>
            </w:r>
          </w:p>
        </w:tc>
        <w:tc>
          <w:tcPr>
            <w:tcW w:type="dxa" w:w="2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Reçus + solde restant</w:t>
            </w:r>
          </w:p>
        </w:tc>
      </w:tr>
      <w:tr>
        <w:tc>
          <w:tcPr>
            <w:tcW w:type="dxa" w:w="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A32D2D"/>
                <w:sz w:val="18"/>
                <w:szCs w:val="18"/>
              </w:rPr>
              <w:t xml:space="preserve">3</w:t>
            </w:r>
          </w:p>
        </w:tc>
        <w:tc>
          <w:tcPr>
            <w:tcW w:type="dxa" w:w="2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Ass. Technique</w:t>
            </w:r>
          </w:p>
        </w:tc>
        <w:tc>
          <w:tcPr>
            <w:tcW w:type="dxa" w:w="4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Intègre les dépenses de route dans la Fiche de Justification d'Avance globale de la course (voir PROC-KL-07).</w:t>
            </w:r>
          </w:p>
        </w:tc>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Voir PROC-KL-07</w:t>
            </w:r>
          </w:p>
        </w:tc>
      </w:tr>
    </w:tbl>
    <w:p>
      <w:pPr>
        <w:spacing w:after="80" w:before="8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A32D2D"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4. Étapes de la procédure — Salaires &amp; primes (mensuel)</w:t>
            </w:r>
          </w:p>
        </w:tc>
      </w:tr>
    </w:tbl>
    <w:p>
      <w:pPr>
        <w:spacing w:after="80" w:before="5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4200"/>
        <w:gridCol w:w="2200"/>
      </w:tblGrid>
      <w:tr>
        <w:tc>
          <w:tcPr>
            <w:tcW w:type="dxa" w:w="600"/>
            <w:tcBorders>
              <w:top w:val="single" w:color="A32D2D" w:sz="4"/>
              <w:left w:val="single" w:color="A32D2D" w:sz="4"/>
              <w:bottom w:val="single" w:color="A32D2D" w:sz="4"/>
              <w:right w:val="single" w:color="A32D2D" w:sz="4"/>
            </w:tcBorders>
            <w:shd w:fill="A32D2D"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FFFFFF"/>
                <w:sz w:val="17"/>
                <w:szCs w:val="17"/>
              </w:rPr>
              <w:t xml:space="preserve">Étape</w:t>
            </w:r>
          </w:p>
        </w:tc>
        <w:tc>
          <w:tcPr>
            <w:tcW w:type="dxa" w:w="2000"/>
            <w:tcBorders>
              <w:top w:val="single" w:color="A32D2D" w:sz="4"/>
              <w:left w:val="single" w:color="A32D2D" w:sz="4"/>
              <w:bottom w:val="single" w:color="A32D2D" w:sz="4"/>
              <w:right w:val="single" w:color="A32D2D" w:sz="4"/>
            </w:tcBorders>
            <w:shd w:fill="A32D2D"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FFFFFF"/>
                <w:sz w:val="17"/>
                <w:szCs w:val="17"/>
              </w:rPr>
              <w:t xml:space="preserve">Acteur</w:t>
            </w:r>
          </w:p>
        </w:tc>
        <w:tc>
          <w:tcPr>
            <w:tcW w:type="dxa" w:w="4200"/>
            <w:tcBorders>
              <w:top w:val="single" w:color="A32D2D" w:sz="4"/>
              <w:left w:val="single" w:color="A32D2D" w:sz="4"/>
              <w:bottom w:val="single" w:color="A32D2D" w:sz="4"/>
              <w:right w:val="single" w:color="A32D2D" w:sz="4"/>
            </w:tcBorders>
            <w:shd w:fill="A32D2D" w:val="clear"/>
            <w:tcMar>
              <w:top w:type="dxa" w:w="80"/>
              <w:left w:type="dxa" w:w="150"/>
              <w:bottom w:type="dxa" w:w="80"/>
              <w:right w:type="dxa" w:w="150"/>
            </w:tcMar>
            <w:vAlign w:val="center"/>
          </w:tcPr>
          <w:p>
            <w:pPr>
              <w:spacing w:after="80" w:before="0"/>
              <w:jc w:val="left"/>
            </w:pPr>
            <w:r>
              <w:rPr>
                <w:rFonts w:ascii="Arial" w:cs="Arial" w:eastAsia="Arial" w:hAnsi="Arial"/>
                <w:b/>
                <w:bCs/>
                <w:i w:val="false"/>
                <w:iCs w:val="false"/>
                <w:color w:val="FFFFFF"/>
                <w:sz w:val="17"/>
                <w:szCs w:val="17"/>
              </w:rPr>
              <w:t xml:space="preserve">Action à réaliser</w:t>
            </w:r>
          </w:p>
        </w:tc>
        <w:tc>
          <w:tcPr>
            <w:tcW w:type="dxa" w:w="2200"/>
            <w:tcBorders>
              <w:top w:val="single" w:color="A32D2D" w:sz="4"/>
              <w:left w:val="single" w:color="A32D2D" w:sz="4"/>
              <w:bottom w:val="single" w:color="A32D2D" w:sz="4"/>
              <w:right w:val="single" w:color="A32D2D" w:sz="4"/>
            </w:tcBorders>
            <w:shd w:fill="A32D2D" w:val="clear"/>
            <w:tcMar>
              <w:top w:type="dxa" w:w="80"/>
              <w:left w:type="dxa" w:w="150"/>
              <w:bottom w:type="dxa" w:w="80"/>
              <w:right w:type="dxa" w:w="150"/>
            </w:tcMar>
            <w:vAlign w:val="center"/>
          </w:tcPr>
          <w:p>
            <w:pPr>
              <w:spacing w:after="80" w:before="0"/>
              <w:jc w:val="left"/>
            </w:pPr>
            <w:r>
              <w:rPr>
                <w:rFonts w:ascii="Arial" w:cs="Arial" w:eastAsia="Arial" w:hAnsi="Arial"/>
                <w:b/>
                <w:bCs/>
                <w:i w:val="false"/>
                <w:iCs w:val="false"/>
                <w:color w:val="FFFFFF"/>
                <w:sz w:val="17"/>
                <w:szCs w:val="17"/>
              </w:rPr>
              <w:t xml:space="preserve">Document produit / requis</w:t>
            </w:r>
          </w:p>
        </w:tc>
      </w:tr>
      <w:tr>
        <w:tc>
          <w:tcPr>
            <w:tcW w:type="dxa" w:w="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A32D2D"/>
                <w:sz w:val="18"/>
                <w:szCs w:val="18"/>
              </w:rPr>
              <w:t xml:space="preserve">1</w:t>
            </w:r>
          </w:p>
        </w:tc>
        <w:tc>
          <w:tcPr>
            <w:tcW w:type="dxa" w:w="2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Ass. Technique / Dispatcher</w:t>
            </w:r>
          </w:p>
        </w:tc>
        <w:tc>
          <w:tcPr>
            <w:tcW w:type="dxa" w:w="4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En fin de mois, compile le relevé de courses par chauffeur : nombre de courses effectuées, km parcourus, incidents éventuels.</w:t>
            </w:r>
          </w:p>
        </w:tc>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Relevé mensuel des courses</w:t>
            </w:r>
          </w:p>
        </w:tc>
      </w:tr>
      <w:tr>
        <w:tc>
          <w:tcPr>
            <w:tcW w:type="dxa" w:w="6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A32D2D"/>
                <w:sz w:val="18"/>
                <w:szCs w:val="18"/>
              </w:rPr>
              <w:t xml:space="preserve">2</w:t>
            </w:r>
          </w:p>
        </w:tc>
        <w:tc>
          <w:tcPr>
            <w:tcW w:type="dxa" w:w="20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Directeur Financier</w:t>
            </w:r>
          </w:p>
        </w:tc>
        <w:tc>
          <w:tcPr>
            <w:tcW w:type="dxa" w:w="4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Sur base du relevé, calcule le montant total dû à chaque chauffeur (fixe + primes). Prépare l'état de paiement mensuel des chauffeurs.</w:t>
            </w:r>
          </w:p>
        </w:tc>
        <w:tc>
          <w:tcPr>
            <w:tcW w:type="dxa" w:w="2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État de paiement chauffeurs</w:t>
            </w:r>
          </w:p>
        </w:tc>
      </w:tr>
      <w:tr>
        <w:tc>
          <w:tcPr>
            <w:tcW w:type="dxa" w:w="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A32D2D"/>
                <w:sz w:val="18"/>
                <w:szCs w:val="18"/>
              </w:rPr>
              <w:t xml:space="preserve">3</w:t>
            </w:r>
          </w:p>
        </w:tc>
        <w:tc>
          <w:tcPr>
            <w:tcW w:type="dxa" w:w="2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Directeur Financier</w:t>
            </w:r>
          </w:p>
        </w:tc>
        <w:tc>
          <w:tcPr>
            <w:tcW w:type="dxa" w:w="4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Soumet l'état de paiement à la Direction Générale pour approbation.</w:t>
            </w:r>
          </w:p>
        </w:tc>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État de paiement approuvé</w:t>
            </w:r>
          </w:p>
        </w:tc>
      </w:tr>
      <w:tr>
        <w:tc>
          <w:tcPr>
            <w:tcW w:type="dxa" w:w="6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A32D2D"/>
                <w:sz w:val="18"/>
                <w:szCs w:val="18"/>
              </w:rPr>
              <w:t xml:space="preserve">4</w:t>
            </w:r>
          </w:p>
        </w:tc>
        <w:tc>
          <w:tcPr>
            <w:tcW w:type="dxa" w:w="20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Caissière (Likasi)</w:t>
            </w:r>
          </w:p>
        </w:tc>
        <w:tc>
          <w:tcPr>
            <w:tcW w:type="dxa" w:w="4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Sur présentation de l'état de paiement approuvé, procède au décaissement individuel de chaque chauffeur ou virement. Fait signer chaque chauffeur.</w:t>
            </w:r>
          </w:p>
        </w:tc>
        <w:tc>
          <w:tcPr>
            <w:tcW w:type="dxa" w:w="2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Liste de paiement signée</w:t>
            </w:r>
          </w:p>
        </w:tc>
      </w:tr>
      <w:tr>
        <w:tc>
          <w:tcPr>
            <w:tcW w:type="dxa" w:w="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A32D2D"/>
                <w:sz w:val="18"/>
                <w:szCs w:val="18"/>
              </w:rPr>
              <w:t xml:space="preserve">5</w:t>
            </w:r>
          </w:p>
        </w:tc>
        <w:tc>
          <w:tcPr>
            <w:tcW w:type="dxa" w:w="2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Comptable KL (F. Mutwale)</w:t>
            </w:r>
          </w:p>
        </w:tc>
        <w:tc>
          <w:tcPr>
            <w:tcW w:type="dxa" w:w="4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Comptabilise les charges de personnel sur base de l'état de paiement signé.</w:t>
            </w:r>
          </w:p>
        </w:tc>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Journal comptable — charges personnel</w:t>
            </w:r>
          </w:p>
        </w:tc>
      </w:tr>
    </w:tbl>
    <w:p>
      <w:pPr>
        <w:spacing w:after="8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5F5E5A"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5. Points de contrôle</w:t>
            </w:r>
          </w:p>
        </w:tc>
      </w:tr>
    </w:tbl>
    <w:p>
      <w:pPr>
        <w:spacing w:after="80" w:before="5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single" w:color="854F0B" w:sz="5"/>
              <w:left w:val="single" w:color="854F0B" w:sz="5"/>
              <w:bottom w:val="single" w:color="854F0B" w:sz="5"/>
              <w:right w:val="single" w:color="854F0B" w:sz="5"/>
            </w:tcBorders>
            <w:shd w:fill="FAEEDA"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854F0B"/>
                <w:sz w:val="20"/>
                <w:szCs w:val="20"/>
              </w:rPr>
              <w:t xml:space="preserve">!</w:t>
            </w:r>
          </w:p>
        </w:tc>
        <w:tc>
          <w:tcPr>
            <w:tcW w:type="dxa" w:w="8700"/>
            <w:tcBorders>
              <w:top w:val="single" w:color="854F0B" w:sz="5"/>
              <w:left w:val="nil" w:color="FFFFFF" w:sz="0"/>
              <w:bottom w:val="single" w:color="854F0B" w:sz="5"/>
              <w:right w:val="single" w:color="854F0B" w:sz="5"/>
            </w:tcBorders>
            <w:shd w:fill="FAEEDA"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iCs/>
                <w:color w:val="854F0B"/>
                <w:sz w:val="18"/>
                <w:szCs w:val="18"/>
              </w:rPr>
              <w:t xml:space="preserve">Aucune avance sur salaire n'est accordée sans demande écrite du chauffeur et approbation expresse du Directeur Financier. Le montant de l'avance est plafonné à 50% du salaire mensuel brut et déduit automatiquement du paiement mensuel suivant.</w:t>
            </w:r>
          </w:p>
        </w:tc>
      </w:tr>
    </w:tbl>
    <w:p>
      <w:pPr>
        <w:spacing w:after="80" w:before="80"/>
        <w:jc w:val="left"/>
      </w:pPr>
      <w:r>
        <w:rPr>
          <w:rFonts w:ascii="Arial" w:cs="Arial" w:eastAsia="Arial" w:hAnsi="Arial"/>
          <w:b w:val="false"/>
          <w:bCs w:val="false"/>
          <w:i w:val="false"/>
          <w:iCs w:val="false"/>
          <w:color w:val="2C2C2A"/>
          <w:sz w:val="20"/>
          <w:szCs w:val="20"/>
        </w:rPr>
        <w:t xml:space="preserve"/>
      </w:r>
    </w:p>
    <w:p>
      <w:pPr>
        <w:pBdr>
          <w:bottom w:val="single" w:color="D3D1C7" w:sz="6" w:space="1"/>
        </w:pBdr>
        <w:spacing w:after="40" w:before="40"/>
        <w:jc w:val="left"/>
      </w:pPr>
      <w:r>
        <w:rPr>
          <w:rFonts w:ascii="Arial" w:cs="Arial" w:eastAsia="Arial" w:hAnsi="Arial"/>
          <w:b w:val="false"/>
          <w:bCs w:val="false"/>
          <w:i w:val="false"/>
          <w:iCs w:val="false"/>
          <w:color w:val="2C2C2A"/>
          <w:sz w:val="20"/>
          <w:szCs w:val="20"/>
        </w:rPr>
        <w:t xml:space="preserve"/>
      </w:r>
    </w:p>
    <w:p>
      <w:pPr>
        <w:spacing w:after="80" w:before="0"/>
        <w:jc w:val="center"/>
      </w:pPr>
      <w:r>
        <w:rPr>
          <w:rFonts w:ascii="Arial" w:cs="Arial" w:eastAsia="Arial" w:hAnsi="Arial"/>
          <w:b w:val="false"/>
          <w:bCs w:val="false"/>
          <w:i/>
          <w:iCs/>
          <w:color w:val="5F5E5A"/>
          <w:sz w:val="15"/>
          <w:szCs w:val="15"/>
        </w:rPr>
        <w:t xml:space="preserve">PROC-KL-09   |   KAKO Logistique — Procédures Opérationnelles   |   Document interne confidentiel</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2026-06-16T17:10:57.401Z</dcterms:created>
  <dcterms:modified xsi:type="dcterms:W3CDTF">2026-06-16T17:10:57.413Z</dcterms:modified>
</cp:coreProperties>
</file>

<file path=docProps/custom.xml><?xml version="1.0" encoding="utf-8"?>
<Properties xmlns="http://schemas.openxmlformats.org/officeDocument/2006/custom-properties" xmlns:vt="http://schemas.openxmlformats.org/officeDocument/2006/docPropsVTypes"/>
</file>