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26"/>
                <w:szCs w:val="26"/>
              </w:rPr>
              <w:t xml:space="preserve">KILIMA Holdings</w:t>
            </w:r>
          </w:p>
          <w:p>
            <w:pPr>
              <w:spacing w:after="80" w:before="0"/>
              <w:jc w:val="center"/>
            </w:pPr>
            <w:r>
              <w:rPr>
                <w:rFonts w:ascii="Arial" w:cs="Arial" w:eastAsia="Arial" w:hAnsi="Arial"/>
                <w:b w:val="false"/>
                <w:bCs w:val="false"/>
                <w:i w:val="false"/>
                <w:iCs w:val="false"/>
                <w:color w:val="CECBF6"/>
                <w:sz w:val="20"/>
                <w:szCs w:val="20"/>
              </w:rPr>
              <w:t xml:space="preserve">NOTE DE SERVICE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FFFFFF"/>
                <w:sz w:val="18"/>
                <w:szCs w:val="18"/>
              </w:rPr>
              <w:t xml:space="preserve">Réf. : KILIMA-NS-2025-01</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Référence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KILIMA-NS-2025-01</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Date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Juin 2025</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À</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 Jacques MALIGIJA — Comptable &amp; Gestionnaire Commercial, DAKAM Sarl ; Direction Générale</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Objet</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Clarification de la ligne hiérarchique de l'agent en charge de DAKAM Sarl</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1. Contexte</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DAKAM Sarl est une entité stratégique du groupe KILIMA Holdings, dont les opérations portent sur l'achat et la revente de ciment en grandes quantités. L'agent en charge, M. Jacques MALIGIJA, assure à la fois la gestion commerciale et la gestion comptable de cette structure.</w:t>
      </w:r>
    </w:p>
    <w:p>
      <w:pPr>
        <w:spacing w:after="80" w:before="0"/>
        <w:jc w:val="left"/>
      </w:pPr>
      <w:r>
        <w:rPr>
          <w:rFonts w:ascii="Arial" w:cs="Arial" w:eastAsia="Arial" w:hAnsi="Arial"/>
          <w:b w:val="false"/>
          <w:bCs w:val="false"/>
          <w:i w:val="false"/>
          <w:iCs w:val="false"/>
          <w:color w:val="2C2C2A"/>
          <w:sz w:val="20"/>
          <w:szCs w:val="20"/>
        </w:rPr>
        <w:t xml:space="preserve">Dans la pratique, M. MALIGIJA recevait des instructions de deux niveaux hiérarchiques distincts — la Direction Financière et la Direction Générale — ce qui créait des situations d'ambiguïté pouvant nuire à la cohérence de l'information financière et à la fluidité des opérations.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2. Décision</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À compter de la date de signature de la présente note, les règles de reporting de M. Jacques MALIGIJA sont établies comme suit :</w:t>
      </w:r>
    </w:p>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Supérieur direct</w:t>
            </w:r>
          </w:p>
        </w:tc>
        <w:tc>
          <w:tcPr>
            <w:tcW w:type="dxa" w:w="6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Directeur Financier — KILIMA Holdings</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Domaine couvert</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Toutes les opérations financières, comptables et commerciales de DAKAM Sarl</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Rôle de la DG</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La Direction Générale est destinataire des rapports périodiques à titre informatif. Elle ne donne pas d'instructions opérationnelles directes à M. MALIGIJA sans concertation préalable avec la Direction Financière.</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Canal de remontée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Toute demande émanant de la Direction Générale concernant DAKAM est d'abord adressée à la Direction Financière, qui coordonne la réponse avec M. MALIGIJA.</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3. Motif</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Cette clarification vise à :</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Garantir la cohérence et la fiabilité de l'information financière produite par DAKAM Sarl.</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Éviter les situations de double instruction pouvant générer des conflits de priorité pour l'agent.</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Renforcer le contrôle interne sur une entité à enjeux financiers élevés pour le groupe.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4. Entrée en vigueur</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La présente note entre en vigueur à la date de sa signature conjointe par la Direction Financière et la Direction Générale. Elle annule et remplace toute pratique antérieure contraire.</w:t>
      </w:r>
    </w:p>
    <w:p>
      <w:pPr>
        <w:spacing w:after="80" w:before="20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60" w:before="60"/>
        <w:jc w:val="left"/>
      </w:pPr>
      <w:r>
        <w:rPr>
          <w:rFonts w:ascii="Arial" w:cs="Arial" w:eastAsia="Arial" w:hAnsi="Arial"/>
          <w:b w:val="false"/>
          <w:bCs w:val="false"/>
          <w:i w:val="false"/>
          <w:iCs w:val="false"/>
          <w:color w:val="2C2C2A"/>
          <w:sz w:val="20"/>
          <w:szCs w:val="20"/>
        </w:rPr>
        <w:t xml:space="preserve"/>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00"/>
        <w:gridCol w:w="4400"/>
      </w:tblGrid>
      <w:tr>
        <w:tc>
          <w:tcPr>
            <w:tcW w:type="dxa" w:w="44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Le Directeur Financier</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Lu et approuvé — Direction Générale</w:t>
            </w:r>
          </w:p>
        </w:tc>
      </w:tr>
      <w:tr>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interne confidentiel — KILIMA Holdings</w:t>
      </w:r>
    </w:p>
    <w:p>
      <w:pPr>
        <w:sectPr>
          <w:pgSz w:w="11906" w:h="16838" w:orient="portrait"/>
          <w:pgMar w:top="900" w:right="900" w:bottom="900" w:left="900" w:header="708" w:footer="708" w:gutter="0"/>
          <w:pgNumType/>
          <w:docGrid w:linePitch="360"/>
        </w:sectPr>
      </w:pP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26"/>
                <w:szCs w:val="26"/>
              </w:rPr>
              <w:t xml:space="preserve">KILIMA Holdings</w:t>
            </w:r>
          </w:p>
          <w:p>
            <w:pPr>
              <w:spacing w:after="80" w:before="0"/>
              <w:jc w:val="center"/>
            </w:pPr>
            <w:r>
              <w:rPr>
                <w:rFonts w:ascii="Arial" w:cs="Arial" w:eastAsia="Arial" w:hAnsi="Arial"/>
                <w:b w:val="false"/>
                <w:bCs w:val="false"/>
                <w:i w:val="false"/>
                <w:iCs w:val="false"/>
                <w:color w:val="CECBF6"/>
                <w:sz w:val="20"/>
                <w:szCs w:val="20"/>
              </w:rPr>
              <w:t xml:space="preserve">NOTE DE SERVICE</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FFFFFF"/>
                <w:sz w:val="18"/>
                <w:szCs w:val="18"/>
              </w:rPr>
              <w:t xml:space="preserve">Réf. : KILIMA-NS-2025-02</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Référence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KILIMA-NS-2025-02</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Date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Juin 2025</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À</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 Patient KAPEND — Caissier &amp; Vendeur, KAKO Sarl Kolwezi ; Responsable Inventaire &amp; IT, KAKO Sarl Kolwezi</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Objet</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Mise en place d'un contrôle de caisse indépendant au point de vente de Kolwezi — KAKO Sarl</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1. Contexte</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Au point de vente KAKO Sarl de Kolwezi, M. Patient KAPEND assume simultanément les fonctions de caissier et de vendeur. Cette situation implique qu'une même personne réalise les ventes, encaisse les paiements et tient le journal de caisse, sans qu'un agent tiers n'effectue de vérification indépendante.</w:t>
      </w:r>
    </w:p>
    <w:p>
      <w:pPr>
        <w:spacing w:after="80" w:before="0"/>
        <w:jc w:val="left"/>
      </w:pPr>
      <w:r>
        <w:rPr>
          <w:rFonts w:ascii="Arial" w:cs="Arial" w:eastAsia="Arial" w:hAnsi="Arial"/>
          <w:b w:val="false"/>
          <w:bCs w:val="false"/>
          <w:i w:val="false"/>
          <w:iCs w:val="false"/>
          <w:color w:val="2C2C2A"/>
          <w:sz w:val="20"/>
          <w:szCs w:val="20"/>
        </w:rPr>
        <w:t xml:space="preserve">Cette configuration présente un risque de contrôle interne significatif : en l'absence de contre-vérification, toute erreur ou irrégularité dans les opérations de caisse peut passer inaperçue pendant une durée prolongée.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2. Décision</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Afin de renforcer le contrôle interne au point de vente de Kolwezi sans création de poste supplémentaire, les mesures suivantes sont instaurées immédiatement :</w:t>
      </w:r>
    </w:p>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Contrôle hebdomadaire</w:t>
            </w:r>
          </w:p>
        </w:tc>
        <w:tc>
          <w:tcPr>
            <w:tcW w:type="dxa" w:w="6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 Responsable Inventaire &amp; IT de Kolwezi effectue chaque vendredi un contrôle physique de caisse indépendant. Il compare le solde physique au journal de caisse tenu par M. KAPEND et signe un procès-verbal de contrôle.</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Rapport de caisse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 KAPEND transmet chaque soir son journal de caisse journalier au Caissier Central de Kolwezi (lui-même) et au Directeur Financier via le canal Teams dédié à KAKO Kolwezi.</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Réconciliation mensuelle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 Comptable de Kolwezi (M. Franck MUTWALE) effectue la réconciliation mensuelle entre les ventes facturées et les encaissements de caisse, sur base des journaux transmis.</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Escalade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Tout écart de caisse supérieur à [montant à définir par la DG] est signalé immédiatement au Directeur Financier.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3. Responsabilités</w:t>
            </w:r>
          </w:p>
        </w:tc>
      </w:tr>
    </w:tbl>
    <w:p>
      <w:pPr>
        <w:spacing w:after="80" w:before="60"/>
        <w:jc w:val="left"/>
      </w:pPr>
      <w:r>
        <w:rPr>
          <w:rFonts w:ascii="Arial" w:cs="Arial" w:eastAsia="Arial" w:hAnsi="Arial"/>
          <w:b w:val="false"/>
          <w:bCs w:val="false"/>
          <w:i w:val="false"/>
          <w:iCs w:val="false"/>
          <w:color w:val="2C2C2A"/>
          <w:sz w:val="20"/>
          <w:szCs w:val="20"/>
        </w:rPr>
        <w:t xml:space="preserve"/>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M. Patient KAPEND : tenue rigoureuse du journal de caisse journalier et transmission quotidienne.</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Responsable Inventaire &amp; IT Kolwezi : contrôle physique hebdomadaire et signature du PV de contrôle.</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M. Franck MUTWALE : réconciliation mensuelle caisse / ventes.</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Direction Financière : réception et archivage des PV de contrôle, traitement des escalades.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4. Entrée en vigueur</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Ces dispositions entrent en vigueur dès la semaine suivant la signature de la présente note. Un modèle de procès-verbal de contrôle de caisse sera fourni par la Direction Financière dans les 5 jours ouvrables suivant la signature.</w:t>
      </w:r>
    </w:p>
    <w:p>
      <w:pPr>
        <w:spacing w:after="80" w:before="20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60" w:before="60"/>
        <w:jc w:val="left"/>
      </w:pPr>
      <w:r>
        <w:rPr>
          <w:rFonts w:ascii="Arial" w:cs="Arial" w:eastAsia="Arial" w:hAnsi="Arial"/>
          <w:b w:val="false"/>
          <w:bCs w:val="false"/>
          <w:i w:val="false"/>
          <w:iCs w:val="false"/>
          <w:color w:val="2C2C2A"/>
          <w:sz w:val="20"/>
          <w:szCs w:val="20"/>
        </w:rPr>
        <w:t xml:space="preserve"/>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00"/>
        <w:gridCol w:w="4400"/>
      </w:tblGrid>
      <w:tr>
        <w:tc>
          <w:tcPr>
            <w:tcW w:type="dxa" w:w="44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Le Directeur Financier</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Lu et approuvé — Direction Générale</w:t>
            </w:r>
          </w:p>
        </w:tc>
      </w:tr>
      <w:tr>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interne confidentiel — KILIMA Holdings</w:t>
      </w:r>
    </w:p>
    <w:p>
      <w:pPr>
        <w:sectPr>
          <w:pgSz w:w="11906" w:h="16838" w:orient="portrait"/>
          <w:pgMar w:top="900" w:right="900" w:bottom="900" w:left="900" w:header="708" w:footer="708" w:gutter="0"/>
          <w:pgNumType/>
          <w:docGrid w:linePitch="360"/>
        </w:sectPr>
      </w:pP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26"/>
                <w:szCs w:val="26"/>
              </w:rPr>
              <w:t xml:space="preserve">KILIMA Holdings</w:t>
            </w:r>
          </w:p>
          <w:p>
            <w:pPr>
              <w:spacing w:after="80" w:before="0"/>
              <w:jc w:val="center"/>
            </w:pPr>
            <w:r>
              <w:rPr>
                <w:rFonts w:ascii="Arial" w:cs="Arial" w:eastAsia="Arial" w:hAnsi="Arial"/>
                <w:b w:val="false"/>
                <w:bCs w:val="false"/>
                <w:i w:val="false"/>
                <w:iCs w:val="false"/>
                <w:color w:val="CECBF6"/>
                <w:sz w:val="20"/>
                <w:szCs w:val="20"/>
              </w:rPr>
              <w:t xml:space="preserve">NOTE DE SERVICE</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bCs/>
                <w:i w:val="false"/>
                <w:iCs w:val="false"/>
                <w:color w:val="FFFFFF"/>
                <w:sz w:val="18"/>
                <w:szCs w:val="18"/>
              </w:rPr>
              <w:t xml:space="preserve">Réf. : KILIMA-NS-2025-03</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Référence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KILIMA-NS-2025-03</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Date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Juin 2025</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De</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À</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 Franck MUTWALE — Comptable, KAKO Logistique &amp; KAKO Sarl Kolwezi ; Assistant Technique &amp; de Direction, KAKO Logistique (Likasi)</w:t>
            </w:r>
          </w:p>
        </w:tc>
      </w:tr>
      <w:tr>
        <w:tc>
          <w:tcPr>
            <w:tcW w:type="dxa" w:w="2600"/>
            <w:tcBorders>
              <w:top w:val="single" w:color="7F77DD" w:sz="3"/>
              <w:left w:val="single" w:color="7F77DD" w:sz="3"/>
              <w:bottom w:val="single" w:color="7F77DD" w:sz="3"/>
              <w:right w:val="single" w:color="7F77DD" w:sz="3"/>
            </w:tcBorders>
            <w:shd w:fill="EEEDFE"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3C3489"/>
                <w:sz w:val="18"/>
                <w:szCs w:val="18"/>
              </w:rPr>
              <w:t xml:space="preserve">Objet</w:t>
            </w:r>
          </w:p>
        </w:tc>
        <w:tc>
          <w:tcPr>
            <w:tcW w:type="dxa" w:w="6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Formalisation du circuit de transmission des données opérationnelles — KAKO Logistique</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1. Contexte</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KAKO Logistique est une structure en pleine croissance dont les opérations — dispatching des camions, suivi des courses, gestion du carburant et des péages — sont centralisées à Likasi. Or, le Comptable en charge de sa comptabilité, M. Franck MUTWALE, est basé à Kolwezi.</w:t>
      </w:r>
    </w:p>
    <w:p>
      <w:pPr>
        <w:spacing w:after="80" w:before="0"/>
        <w:jc w:val="left"/>
      </w:pPr>
      <w:r>
        <w:rPr>
          <w:rFonts w:ascii="Arial" w:cs="Arial" w:eastAsia="Arial" w:hAnsi="Arial"/>
          <w:b w:val="false"/>
          <w:bCs w:val="false"/>
          <w:i w:val="false"/>
          <w:iCs w:val="false"/>
          <w:color w:val="2C2C2A"/>
          <w:sz w:val="20"/>
          <w:szCs w:val="20"/>
        </w:rPr>
        <w:t xml:space="preserve">Cette situation crée un décalage structurel : M. MUTWALE ne peut pas observer directement les opérations qu'il est chargé de comptabiliser. Les données lui parviennent de manière informelle, sans format ni délai standardisés, ce qui génère des retards de saisie, des risques d'erreur et une fiabilité limitée des états financiers de KAKO Logistique.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2. Décision — Circuit de transmission formalisé</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Un circuit de transmission quotidien des données est instauré entre Likasi et Kolwezi, selon le schéma suivant :</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2000"/>
        <w:gridCol w:w="2200"/>
      </w:tblGrid>
      <w:tr>
        <w:tc>
          <w:tcPr>
            <w:tcW w:type="dxa" w:w="4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4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Qui</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Quoi</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Canal</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Délai</w:t>
            </w:r>
          </w:p>
        </w:tc>
      </w:tr>
      <w:tr>
        <w:tc>
          <w:tcPr>
            <w:tcW w:type="dxa" w:w="4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2C2C2A"/>
                <w:sz w:val="18"/>
                <w:szCs w:val="18"/>
              </w:rPr>
              <w:t xml:space="preserve">1</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Ass. Technique (Likasi)</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Fiche course journalière (départs, retours, carburant, péages, incidents)</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Canal Teams KAKO Logistique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Chaque soir avant 18h</w:t>
            </w:r>
          </w:p>
        </w:tc>
      </w:tr>
      <w:tr>
        <w:tc>
          <w:tcPr>
            <w:tcW w:type="dxa" w:w="4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2C2C2A"/>
                <w:sz w:val="18"/>
                <w:szCs w:val="18"/>
              </w:rPr>
              <w:t xml:space="preserve">2</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 Franck MUTWALE (Kolwezi)</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Accusé de réception + saisie comptable sur base de la fiche reçue</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Teams + Excel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Le lendemain matin avant 9h</w:t>
            </w:r>
          </w:p>
        </w:tc>
      </w:tr>
      <w:tr>
        <w:tc>
          <w:tcPr>
            <w:tcW w:type="dxa" w:w="4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2C2C2A"/>
                <w:sz w:val="18"/>
                <w:szCs w:val="18"/>
              </w:rPr>
              <w:t xml:space="preserve">3</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 Franck MUTWALE</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Rapport hebdomadaire KAKO Logistique consolidé</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Teams + Excel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Chaque lundi avant 10h</w:t>
            </w:r>
          </w:p>
        </w:tc>
      </w:tr>
      <w:tr>
        <w:tc>
          <w:tcPr>
            <w:tcW w:type="dxa" w:w="4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2C2C2A"/>
                <w:sz w:val="18"/>
                <w:szCs w:val="18"/>
              </w:rPr>
              <w:t xml:space="preserve">4</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Direction Financière</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Validation du rapport hebdomadaire + retour éventuel</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Teams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Chaque lundi avant 12h</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3. Format de la fiche course journalière</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La Direction Financière mettra à disposition de l'Assistant Technique un modèle de fiche course standardisé dans les 5 jours ouvrables suivant la signature. Ce modèle inclura au minimum :</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Numéro et identification du camion</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Date et heure de départ / retour</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Trajet effectué (origine → destination)</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Marchandise transportée et quantité</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Montant carburant reçu et consommé</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Péages et autres frais de route</w:t>
      </w:r>
    </w:p>
    <w:p>
      <w:pPr>
        <w:pStyle w:val="ListParagraph"/>
        <w:numPr>
          <w:ilvl w:val="0"/>
          <w:numId w:val="2"/>
        </w:numPr>
        <w:spacing w:after="60" w:before="0"/>
        <w:jc w:val="left"/>
      </w:pPr>
      <w:r>
        <w:rPr>
          <w:rFonts w:ascii="Arial" w:cs="Arial" w:eastAsia="Arial" w:hAnsi="Arial"/>
          <w:b w:val="false"/>
          <w:bCs w:val="false"/>
          <w:i w:val="false"/>
          <w:iCs w:val="false"/>
          <w:color w:val="2C2C2A"/>
          <w:sz w:val="20"/>
          <w:szCs w:val="20"/>
        </w:rPr>
        <w:t xml:space="preserve">Observations ou incidents éventuels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60" w:before="60"/>
              <w:jc w:val="left"/>
            </w:pPr>
            <w:r>
              <w:rPr>
                <w:rFonts w:ascii="Arial" w:cs="Arial" w:eastAsia="Arial" w:hAnsi="Arial"/>
                <w:b/>
                <w:bCs/>
                <w:i w:val="false"/>
                <w:iCs w:val="false"/>
                <w:color w:val="FFFFFF"/>
                <w:sz w:val="20"/>
                <w:szCs w:val="20"/>
              </w:rPr>
              <w:t xml:space="preserve">4. Disposition transitoire</w:t>
            </w:r>
          </w:p>
        </w:tc>
      </w:tr>
    </w:tbl>
    <w:p>
      <w:pPr>
        <w:spacing w:after="80" w:before="6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Cette organisation est une mesure transitoire destinée à sécuriser le circuit de données dans l'attente d'une solution informatique intégrée (Odoo). Elle sera révisée lors du déploiement du module logistique d'Odoo, prévu en Phase 4 du plan de restructuration du groupe.</w:t>
      </w:r>
    </w:p>
    <w:p>
      <w:pPr>
        <w:spacing w:after="80" w:before="20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60" w:before="60"/>
        <w:jc w:val="left"/>
      </w:pPr>
      <w:r>
        <w:rPr>
          <w:rFonts w:ascii="Arial" w:cs="Arial" w:eastAsia="Arial" w:hAnsi="Arial"/>
          <w:b w:val="false"/>
          <w:bCs w:val="false"/>
          <w:i w:val="false"/>
          <w:iCs w:val="false"/>
          <w:color w:val="2C2C2A"/>
          <w:sz w:val="20"/>
          <w:szCs w:val="20"/>
        </w:rPr>
        <w:t xml:space="preserve"/>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00"/>
        <w:gridCol w:w="4400"/>
      </w:tblGrid>
      <w:tr>
        <w:tc>
          <w:tcPr>
            <w:tcW w:type="dxa" w:w="44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Le Directeur Financier</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8"/>
                <w:szCs w:val="18"/>
              </w:rPr>
              <w:t xml:space="preserve">Lu et approuvé — Direction Générale</w:t>
            </w:r>
          </w:p>
        </w:tc>
      </w:tr>
      <w:tr>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c>
          <w:tcPr>
            <w:tcW w:type="dxa" w:w="200"/>
            <w:tcBorders>
              <w:top w:val="nil" w:color="FFFFFF" w:sz="0"/>
              <w:left w:val="nil" w:color="FFFFFF" w:sz="0"/>
              <w:bottom w:val="nil" w:color="FFFFFF" w:sz="0"/>
              <w:right w:val="nil" w:color="FFFFFF" w:sz="0"/>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20"/>
                <w:szCs w:val="20"/>
              </w:rPr>
              <w:t xml:space="preserve"/>
            </w:r>
          </w:p>
        </w:tc>
        <w:tc>
          <w:tcPr>
            <w:tcW w:type="dxa" w:w="4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40" w:before="300"/>
              <w:jc w:val="left"/>
            </w:pPr>
            <w:r>
              <w:rPr>
                <w:rFonts w:ascii="Arial" w:cs="Arial" w:eastAsia="Arial" w:hAnsi="Arial"/>
                <w:b w:val="false"/>
                <w:bCs w:val="false"/>
                <w:i/>
                <w:iCs/>
                <w:color w:val="5F5E5A"/>
                <w:sz w:val="18"/>
                <w:szCs w:val="18"/>
              </w:rPr>
              <w:t xml:space="preserve">Nom : ________________________________</w:t>
            </w:r>
          </w:p>
          <w:p>
            <w:pPr>
              <w:spacing w:after="120" w:before="0"/>
              <w:jc w:val="left"/>
            </w:pPr>
            <w:r>
              <w:rPr>
                <w:rFonts w:ascii="Arial" w:cs="Arial" w:eastAsia="Arial" w:hAnsi="Arial"/>
                <w:b w:val="false"/>
                <w:bCs w:val="false"/>
                <w:i/>
                <w:iCs/>
                <w:color w:val="5F5E5A"/>
                <w:sz w:val="18"/>
                <w:szCs w:val="18"/>
              </w:rPr>
              <w:t xml:space="preserve">Signature &amp; Date : ___________________</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interne confidentiel — KILIMA Holdings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2026-06-16T16:13:53.609Z</dcterms:created>
  <dcterms:modified xsi:type="dcterms:W3CDTF">2026-06-16T16:13:53.623Z</dcterms:modified>
</cp:coreProperties>
</file>

<file path=docProps/custom.xml><?xml version="1.0" encoding="utf-8"?>
<Properties xmlns="http://schemas.openxmlformats.org/officeDocument/2006/custom-properties" xmlns:vt="http://schemas.openxmlformats.org/officeDocument/2006/docPropsVTypes"/>
</file>