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80"/>
              <w:jc w:val="center"/>
            </w:pPr>
            <w:r>
              <w:rPr>
                <w:rFonts w:ascii="Arial" w:cs="Arial" w:eastAsia="Arial" w:hAnsi="Arial"/>
                <w:b/>
                <w:bCs/>
                <w:i w:val="false"/>
                <w:iCs w:val="false"/>
                <w:color w:val="FFFFFF"/>
                <w:sz w:val="32"/>
                <w:szCs w:val="32"/>
              </w:rPr>
              <w:t xml:space="preserve">KILIMA Holdings</w:t>
            </w:r>
          </w:p>
          <w:p>
            <w:pPr>
              <w:spacing w:after="80" w:before="0"/>
              <w:jc w:val="center"/>
            </w:pPr>
            <w:r>
              <w:rPr>
                <w:rFonts w:ascii="Arial" w:cs="Arial" w:eastAsia="Arial" w:hAnsi="Arial"/>
                <w:b w:val="false"/>
                <w:bCs w:val="false"/>
                <w:i w:val="false"/>
                <w:iCs w:val="false"/>
                <w:color w:val="CECBF6"/>
                <w:sz w:val="26"/>
                <w:szCs w:val="26"/>
              </w:rPr>
              <w:t xml:space="preserve">Ets HORIZON</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60" w:before="60"/>
              <w:jc w:val="center"/>
            </w:pPr>
            <w:r>
              <w:rPr>
                <w:rFonts w:ascii="Arial" w:cs="Arial" w:eastAsia="Arial" w:hAnsi="Arial"/>
                <w:b/>
                <w:bCs/>
                <w:i w:val="false"/>
                <w:iCs w:val="false"/>
                <w:color w:val="FFFFFF"/>
                <w:sz w:val="24"/>
                <w:szCs w:val="24"/>
              </w:rPr>
              <w:t xml:space="preserve">Manuel de Procédures Opérationnelles</w:t>
            </w:r>
          </w:p>
        </w:tc>
      </w:tr>
    </w:tbl>
    <w:p>
      <w:pPr>
        <w:spacing w:after="80" w:before="1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Réf. document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KILIMA-PROC-HZ-2025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Version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1.0 — Juin 2025</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Entité</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Ets HORIZON — Location d'engins miniers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Nb de procédures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7 procédures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Modèle économique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Location engins à la prestation — facturation mensuelle</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Dépenses principales</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Pièces de rechange &amp; maintenance — achats au besoin (pas de stock)</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Ass. Tech. / Direction</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Vinciane — compilation données prestations &amp; suivi budget DT</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Comptable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Raphael KYUNGU (partagé avec KAKO Sarl Likasi)</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Caisse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Eliane MUSOLO — Caissière Likasi</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DT Groupe</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Ruffin — supervise les opérations techniques (hors supervision DFI)</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Établi par</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Direction Financière — KILIMA Holdings</w:t>
            </w:r>
          </w:p>
        </w:tc>
      </w:tr>
      <w:tr>
        <w:tc>
          <w:tcPr>
            <w:tcW w:type="dxa" w:w="3000"/>
            <w:tcBorders>
              <w:top w:val="single" w:color="7F77DD" w:sz="3"/>
              <w:left w:val="single" w:color="7F77DD" w:sz="3"/>
              <w:bottom w:val="single" w:color="7F77DD" w:sz="3"/>
              <w:right w:val="single" w:color="7F77DD" w:sz="3"/>
            </w:tcBorders>
            <w:shd w:fill="3C3489"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FFFFFF"/>
                <w:sz w:val="18"/>
                <w:szCs w:val="18"/>
              </w:rPr>
              <w:t xml:space="preserve">Date d'effet</w:t>
            </w:r>
          </w:p>
        </w:tc>
        <w:tc>
          <w:tcPr>
            <w:tcW w:type="dxa" w:w="6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la signature</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10" w:before="50"/>
              <w:jc w:val="left"/>
            </w:pPr>
            <w:r>
              <w:rPr>
                <w:rFonts w:ascii="Arial" w:cs="Arial" w:eastAsia="Arial" w:hAnsi="Arial"/>
                <w:b/>
                <w:bCs/>
                <w:i w:val="false"/>
                <w:iCs w:val="false"/>
                <w:color w:val="FFFFFF"/>
                <w:sz w:val="18"/>
                <w:szCs w:val="18"/>
              </w:rPr>
              <w:t xml:space="preserve">Particularité validation HORIZON :</w:t>
            </w:r>
          </w:p>
          <w:p>
            <w:pPr>
              <w:spacing w:after="50" w:before="0"/>
              <w:jc w:val="left"/>
            </w:pPr>
            <w:r>
              <w:rPr>
                <w:rFonts w:ascii="Arial" w:cs="Arial" w:eastAsia="Arial" w:hAnsi="Arial"/>
                <w:b w:val="false"/>
                <w:bCs w:val="false"/>
                <w:i w:val="false"/>
                <w:iCs w:val="false"/>
                <w:color w:val="CECBF6"/>
                <w:sz w:val="17"/>
                <w:szCs w:val="17"/>
              </w:rPr>
              <w:t xml:space="preserve">Contrairement aux autres entités, les demandes HORIZON sont validées par DG Arsène + DT Ruffin conjointement (et non DG Arsène + Admin Huguette), en raison du caractère technique des demandes. Le Président peut approuver seul en cas d'indisponibilité.</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6"/>
          <w:szCs w:val="16"/>
        </w:rPr>
        <w:t xml:space="preserve">Document confidentiel — Usage interne exclusif — KILIMA Holdings</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Sommaire des procédures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00"/>
      </w:tblGrid>
      <w:tr>
        <w:tc>
          <w:tcPr>
            <w:tcW w:type="dxa" w:w="16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Référence</w:t>
            </w:r>
          </w:p>
        </w:tc>
        <w:tc>
          <w:tcPr>
            <w:tcW w:type="dxa" w:w="50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Intitulé</w:t>
            </w:r>
          </w:p>
        </w:tc>
        <w:tc>
          <w:tcPr>
            <w:tcW w:type="dxa" w:w="2400"/>
            <w:tcBorders>
              <w:top w:val="single" w:color="5F5E5A" w:sz="4"/>
              <w:left w:val="single" w:color="5F5E5A" w:sz="4"/>
              <w:bottom w:val="single" w:color="5F5E5A" w:sz="4"/>
              <w:right w:val="single" w:color="5F5E5A" w:sz="4"/>
            </w:tcBorders>
            <w:shd w:fill="5F5E5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Catégorie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PROC-HZ-01</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Déclenchement d'une prestation &amp; enregistrement par le dispatch</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Prestations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PROC-HZ-02</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Suivi quotidien des prestations (Ass. Tech. Vinciane)</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Prestations</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6"/>
                <w:szCs w:val="16"/>
              </w:rPr>
              <w:t xml:space="preserve">PROC-HZ-03</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Réconciliation mensuelle des prestations &amp; préparation facturation</w:t>
            </w:r>
          </w:p>
        </w:tc>
        <w:tc>
          <w:tcPr>
            <w:tcW w:type="dxa" w:w="2400"/>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5"/>
                <w:szCs w:val="15"/>
              </w:rPr>
              <w:t xml:space="preserve">Prestations</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6"/>
                <w:szCs w:val="16"/>
              </w:rPr>
              <w:t xml:space="preserve">PROC-HZ-04</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Facturation client &amp; suivi des créances</w:t>
            </w:r>
          </w:p>
        </w:tc>
        <w:tc>
          <w:tcPr>
            <w:tcW w:type="dxa" w:w="2400"/>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5"/>
                <w:szCs w:val="15"/>
              </w:rPr>
              <w:t xml:space="preserve">Facturation</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PROC-HZ-05</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Achat pièces de rechange &amp; maintenance (avance à justifier)</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Maintenance</w:t>
            </w:r>
          </w:p>
        </w:tc>
      </w:tr>
      <w:tr>
        <w:tc>
          <w:tcPr>
            <w:tcW w:type="dxa" w:w="1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6"/>
                <w:szCs w:val="16"/>
              </w:rPr>
              <w:t xml:space="preserve">PROC-HZ-06</w:t>
            </w:r>
          </w:p>
        </w:tc>
        <w:tc>
          <w:tcPr>
            <w:tcW w:type="dxa" w:w="5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Suivi du budget département technique</w:t>
            </w:r>
          </w:p>
        </w:tc>
        <w:tc>
          <w:tcPr>
            <w:tcW w:type="dxa" w:w="2400"/>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5"/>
                <w:szCs w:val="15"/>
              </w:rPr>
              <w:t xml:space="preserve">Maintenance</w:t>
            </w:r>
          </w:p>
        </w:tc>
      </w:tr>
      <w:tr>
        <w:tc>
          <w:tcPr>
            <w:tcW w:type="dxa" w:w="1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6"/>
                <w:szCs w:val="16"/>
              </w:rPr>
              <w:t xml:space="preserve">PROC-HZ-07</w:t>
            </w:r>
          </w:p>
        </w:tc>
        <w:tc>
          <w:tcPr>
            <w:tcW w:type="dxa" w:w="5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val="false"/>
                <w:iCs w:val="false"/>
                <w:color w:val="2C2C2A"/>
                <w:sz w:val="17"/>
                <w:szCs w:val="17"/>
              </w:rPr>
              <w:t xml:space="preserve">Justification des avances &amp; comptabilisation (Raphael K.)</w:t>
            </w:r>
          </w:p>
        </w:tc>
        <w:tc>
          <w:tcPr>
            <w:tcW w:type="dxa" w:w="2400"/>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5"/>
                <w:szCs w:val="15"/>
              </w:rPr>
              <w:t xml:space="preserve">Financier</w:t>
            </w:r>
          </w:p>
        </w:tc>
      </w:tr>
    </w:tbl>
    <w:p>
      <w:pPr>
        <w:spacing w:after="80" w:before="80"/>
        <w:jc w:val="left"/>
      </w:pPr>
      <w:r>
        <w:rPr>
          <w:rFonts w:ascii="Arial" w:cs="Arial" w:eastAsia="Arial" w:hAnsi="Arial"/>
          <w:b w:val="false"/>
          <w:bCs w:val="false"/>
          <w:i w:val="false"/>
          <w:iCs w:val="false"/>
          <w:color w:val="2C2C2A"/>
          <w:sz w:val="20"/>
          <w:szCs w:val="20"/>
        </w:rPr>
        <w:t xml:space="preserve"/>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Ets HORIZON — Procédures Opérationnelles</w:t>
            </w:r>
          </w:p>
          <w:p>
            <w:pPr>
              <w:spacing w:after="40" w:before="0"/>
              <w:jc w:val="center"/>
            </w:pPr>
            <w:r>
              <w:rPr>
                <w:rFonts w:ascii="Arial" w:cs="Arial" w:eastAsia="Arial" w:hAnsi="Arial"/>
                <w:b/>
                <w:bCs/>
                <w:i w:val="false"/>
                <w:iCs w:val="false"/>
                <w:color w:val="FFFFFF"/>
                <w:sz w:val="22"/>
                <w:szCs w:val="22"/>
              </w:rPr>
              <w:t xml:space="preserve">PROC-HZ-01 — Déclenchement d'une prestation &amp; enregistrement par le dispatch</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Prestations   |   Fréquence : Par déclenchement client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Définir le processus d'enregistrement du démarrage d'une prestation de location d'engin minier, depuis la demande client jusqu'à la confirmation de mise en service de l'engin sur site, en assurant la traçabilité nécessaire à la facturation mensuelle.</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0F6E56" w:sz="5"/>
              <w:left w:val="single" w:color="0F6E56" w:sz="5"/>
              <w:bottom w:val="single" w:color="0F6E56" w:sz="5"/>
              <w:right w:val="single" w:color="0F6E56" w:sz="5"/>
            </w:tcBorders>
            <w:shd w:fill="E1F5E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20"/>
                <w:szCs w:val="20"/>
              </w:rPr>
              <w:t xml:space="preserve">!</w:t>
            </w:r>
          </w:p>
        </w:tc>
        <w:tc>
          <w:tcPr>
            <w:tcW w:type="dxa" w:w="8700"/>
            <w:tcBorders>
              <w:top w:val="single" w:color="0F6E56" w:sz="5"/>
              <w:left w:val="nil" w:color="FFFFFF" w:sz="0"/>
              <w:bottom w:val="single" w:color="0F6E56" w:sz="5"/>
              <w:right w:val="single" w:color="0F6E56" w:sz="5"/>
            </w:tcBorders>
            <w:shd w:fill="E1F5E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0F6E56"/>
                <w:sz w:val="18"/>
                <w:szCs w:val="18"/>
              </w:rPr>
              <w:t xml:space="preserve">HORIZON facture ses clients en fin de mois sur base des prestations réellement effectuées. Le suivi quotidien des heures et journées de prestation est donc la matière première de toute facturation. Une prestation non enregistrée = une prestation non facturée.</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Client /
DT Ruffin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 client formule une demande de location d'engin (type d'engin, site, durée prévue, nature des travaux). Le DT Ruffin évalue la faisabilité technique et confirme la disponibilité de l'engin.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Demande client (e-mail ou bon de commande)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Ruffin</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Confirme la prestation au client et instruit le dispatch : engin affecté, site, date de début, conditions de la prestation (tarif à la journée ou à l'heure, selon contrat client).</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Instruction dispatch — fiche de prestation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Equipe dispatch
(terrain)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Enregistre le démarrage de la prestation sur la Fiche de Prestation Journalière : engin, client, site, date, heure de début, opérateur/chauffeur engin.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Prestation Journalière — ouverte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la Fiche de Prestation du dispatch. Enregistre la nouvelle prestation dans le tableau de suivi des prestations HORIZON (client, engin, date début, tarif applicable). Informe le DFI et Raphael KYUNGU.</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suivi prestations HORIZON — mise à jour</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Est informé du démarrage de toute nouvelle prestation via le rapport journalier de Vinciane. Pour toute prestation à valeur contractuelle importante, valide les conditions avant démarrage.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journalier Vinciane → DFI</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Toute prestation doit être enregistrée dans le tableau de suivi de Vinciane le jour même de son démarrage. Une prestation démarrée sans enregistrement ne pourra pas être facturée en fin de mois. Le dispatch est responsable de la remontée immédiate des informations à Vinciane.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PROC-HZ-01   |   Ets HORIZON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Ets HORIZON — Procédures Opérationnelles</w:t>
            </w:r>
          </w:p>
          <w:p>
            <w:pPr>
              <w:spacing w:after="40" w:before="0"/>
              <w:jc w:val="center"/>
            </w:pPr>
            <w:r>
              <w:rPr>
                <w:rFonts w:ascii="Arial" w:cs="Arial" w:eastAsia="Arial" w:hAnsi="Arial"/>
                <w:b/>
                <w:bCs/>
                <w:i w:val="false"/>
                <w:iCs w:val="false"/>
                <w:color w:val="FFFFFF"/>
                <w:sz w:val="22"/>
                <w:szCs w:val="22"/>
              </w:rPr>
              <w:t xml:space="preserve">PROC-HZ-02 — Suivi quotidien des prestations (Ass. Tech. Vinciane)</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Prestations   |   Fréquence : Quotidien</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quotidien de toutes les prestations en cours chez HORIZON, en collectant les données de terrain transmises par le dispatch et en les compilant dans le tableau centralisé de suivi des prestations.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Équipe dispatch
(terrain)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jour, pour chaque engin en prestation, complète la Fiche de Prestation Journalière : heures travaillées, arrêts (pannes, intempéries, décision client), nature des travaux exécutés, observations. Transmet à Vinciane avant 17h.</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de Prestation Journalière complétée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Réceptionne les fiches du dispatch. Pour chaque engin en prestation, met à jour le tableau de suivi : heures/jours travaillés dans la journée, cumul depuis début du mois, incidents.</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suivi prestations HORIZON — cumul</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Signale immédiatement au DT Ruffin et au DFI tout incident opérationnel : panne engin, arrêt prolongé non planifié, litige avec le client sur les heures. Ces événements peuvent impacter la facturation.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signalement incident → DT + DFI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Prépare le rapport journalier HORIZON : état de chaque engin (en prestation / en maintenance / disponible), cumul prestations du mois à date par client, alertes. Transmet au DFI via Teams avant 18h.</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journalier HORIZON — Teams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journalier. Suit l'évolution du chiffre d'affaires HORIZON à date. Intervient sur tout incident pouvant impacter la facturation ou la relation client.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Suivi DFI — tableau de bord mensuel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tableau de suivi des prestations de Vinciane est la source unique de vérité pour la facturation mensuelle HORIZON. Toute donnée non enregistrée quotidiennement sera difficile à reconstituer en fin de mois. La rigueur quotidienne conditionne la qualité de la facturation.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Les arrêts d'engin (pannes, intempéries, décisions client) doivent être tracés avec leur durée exacte. Selon les contrats clients, certains arrêts peuvent être facturés (mise à disposition) et d'autres non (panne engin HORIZON). Ce point doit être clarifié contrat par contrat avec le DT.</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PROC-HZ-02   |   Ets HORIZON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Ets HORIZON — Procédures Opérationnelles</w:t>
            </w:r>
          </w:p>
          <w:p>
            <w:pPr>
              <w:spacing w:after="40" w:before="0"/>
              <w:jc w:val="center"/>
            </w:pPr>
            <w:r>
              <w:rPr>
                <w:rFonts w:ascii="Arial" w:cs="Arial" w:eastAsia="Arial" w:hAnsi="Arial"/>
                <w:b/>
                <w:bCs/>
                <w:i w:val="false"/>
                <w:iCs w:val="false"/>
                <w:color w:val="FFFFFF"/>
                <w:sz w:val="22"/>
                <w:szCs w:val="22"/>
              </w:rPr>
              <w:t xml:space="preserve">PROC-HZ-03 — Réconciliation mensuelle des prestations &amp; préparation facturation</w:t>
            </w:r>
          </w:p>
        </w:tc>
      </w:tr>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Prestations   |   Fréquence : Mensuel — avant le 3 du mois suivant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Effectuer en fin de mois la réconciliation complète des prestations exécutées par client, en confrontant les données du tableau de Vinciane avec les fiches terrain du dispatch, pour produire les données de facturation validées.</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0F6E56"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0F6E56" w:sz="4"/>
              <w:left w:val="single" w:color="0F6E56" w:sz="4"/>
              <w:bottom w:val="single" w:color="0F6E56" w:sz="4"/>
              <w:right w:val="single" w:color="0F6E56" w:sz="4"/>
            </w:tcBorders>
            <w:shd w:fill="0F6E56"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Dès le 1er du mois, consolide les données du tableau de suivi des prestations du mois écoulé : total heures/jours par engin et par client, arrêts documentés, incidents. Prépare le Rapport Mensuel de Prestations.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Mensuel de Prestations (par client)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Confronte le Rapport Mensuel avec les Fiches de Prestation Journalières physiques du dispatch pour le même mois. Vérifie la cohérence : chaque jour dans le tableau doit avoir une fiche terrain correspondante.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Fiches Prestation Journalières du mois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Pour tout écart entre le tableau et les fiches terrain, contacte le dispatch pour clarification. Documente la résolution de chaque écart. Aucune ligne litigieuse ne peut être soumise à la facturation.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d'écarts — prestations mois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Soumet le Rapport Mensuel de Prestations réconcilié au DT Ruffin pour validation technique (confirmation que les heures correspondent bien aux travaux exécutés sur chaque site).</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Mensuel → DT Ruffin pour validation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Ruffin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le Rapport Mensuel de Prestations. Signe le document. En cas de désaccord sur certaines lignes, retourne à Vinciane avec ses corrections avant de signer.</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Mensuel signé DT Ruffin</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0F6E56"/>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Transmet le Rapport Mensuel validé et signé au DFI et à Raphael KYUNGU (Comptable) pour déclenchement de la facturation (PROC-HZ-04).</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Mensuel → DFI + Raphael K.</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réconciliation mensuelle doit être finalisée et validée par le DT Ruffin au plus tard le 3 du mois suivant. Tout retard retarde la facturation et donc le recouvrement. Le Rapport Mensuel signé par le DT est la pièce déclenchante de la facturation — sans signature DT, aucune facture ne peut être émise.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PROC-HZ-03   |   Ets HORIZON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Ets HORIZON — Procédures Opérationnelles</w:t>
            </w:r>
          </w:p>
          <w:p>
            <w:pPr>
              <w:spacing w:after="40" w:before="0"/>
              <w:jc w:val="center"/>
            </w:pPr>
            <w:r>
              <w:rPr>
                <w:rFonts w:ascii="Arial" w:cs="Arial" w:eastAsia="Arial" w:hAnsi="Arial"/>
                <w:b/>
                <w:bCs/>
                <w:i w:val="false"/>
                <w:iCs w:val="false"/>
                <w:color w:val="FFFFFF"/>
                <w:sz w:val="22"/>
                <w:szCs w:val="22"/>
              </w:rPr>
              <w:t xml:space="preserve">PROC-HZ-04 — Facturation client &amp; suivi des créances</w:t>
            </w:r>
          </w:p>
        </w:tc>
      </w:tr>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Facturation   |   Fréquence : Mensuel — après validation DT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l'émission des factures mensuelles aux clients HORIZON sur base du Rapport Mensuel de Prestations validé par le DT, et assurer le suivi rigoureux des créances jusqu'à l'encaissement.</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 —
Comptable HORIZON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base du Rapport Mensuel de Prestations validé (PROC-HZ-03), prépare les projets de factures : une facture par client, détaillant les engins, heures/jours de prestation, tarifs contractuels, total dû.</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Projets de factures HORIZON par client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Vérifie la conformité des factures avec le Rapport Mensuel et les tarifs contractuels. Approuve et signe. Retourne à Raphael K. pour émission.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Factures approuvées par DFI</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Émet les factures via la plateforme DGI. Transmet aux clients (e-mail ou remise physique). Enregistre dans le tableau de suivi des créances HORIZON.</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Factures DGI émises + tableau créances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factures : débit clients, crédit produits prestations. Transmet le tableau créances mis à jour au DFI avec le rapport mensuel.</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produits prestations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les paiements à l'échéance. Pour créances échues non payées, instruit Raphael K. sur les relances. Créances &gt; 30 jours : mémo DG + DT Ruffin (la relation technique peut faciliter le recouvrement).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Instructions relance — e-mail</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À réception des paiements, enregistre au journal de caisse HORIZON ou confirme les virements à Raphael K.</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caisse HORIZON / confirmation virement</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Lettrage des paiements en comptabilité. Mise à jour tableau créances — statut Soldé.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 lettrage créances</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facturation HORIZON doit être émise au plus tard le 5 du mois suivant la prestation. Les contrats clients peuvent prévoir des délais de paiement spécifiques — Raphael K. doit les intégrer dans le tableau de suivi des créances dès l'émission de la facture.</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Pour les clients dont les créances s'accumulent sur plusieurs mois, le DFI informe le DT Ruffin qui peut conditionner la poursuite des prestations au règlement des arriérés. La continuation de prestation pour un client en impayé doit être une décision DFI + DT + DG, jamais unilatérale.</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PROC-HZ-04   |   Ets HORIZON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Ets HORIZON — Procédures Opérationnelles</w:t>
            </w:r>
          </w:p>
          <w:p>
            <w:pPr>
              <w:spacing w:after="40" w:before="0"/>
              <w:jc w:val="center"/>
            </w:pPr>
            <w:r>
              <w:rPr>
                <w:rFonts w:ascii="Arial" w:cs="Arial" w:eastAsia="Arial" w:hAnsi="Arial"/>
                <w:b/>
                <w:bCs/>
                <w:i w:val="false"/>
                <w:iCs w:val="false"/>
                <w:color w:val="FFFFFF"/>
                <w:sz w:val="22"/>
                <w:szCs w:val="22"/>
              </w:rPr>
              <w:t xml:space="preserve">PROC-HZ-05 — Achat pièces de rechange &amp; maintenance (avance à justifier)</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Maintenance   |   Fréquence : Sur besoin — urgent ou planifié</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17"/>
                <w:szCs w:val="17"/>
              </w:rPr>
              <w:t xml:space="preserve">Circuit avances à justifier — validation KH (HORIZON)</w:t>
            </w:r>
          </w:p>
        </w:tc>
      </w:tr>
    </w:tbl>
    <w:p>
      <w:pPr>
        <w:spacing w:after="80" w:before="4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6"/>
        <w:gridCol w:w="1286"/>
        <w:gridCol w:w="1286"/>
        <w:gridCol w:w="1286"/>
        <w:gridCol w:w="1286"/>
        <w:gridCol w:w="1285"/>
      </w:tblGrid>
      <w:tr>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Réquisition
Form</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Validation
e-mail</w:t>
            </w:r>
          </w:p>
        </w:tc>
        <w:tc>
          <w:tcPr>
            <w:tcW w:type="dxa" w:w="1285"/>
            <w:tcBorders>
              <w:top w:val="single" w:color="854F0B" w:sz="3"/>
              <w:left w:val="single" w:color="854F0B" w:sz="3"/>
              <w:bottom w:val="single" w:color="854F0B" w:sz="3"/>
              <w:right w:val="single" w:color="854F0B" w:sz="3"/>
            </w:tcBorders>
            <w:shd w:fill="FAEEDA"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854F0B"/>
                <w:sz w:val="15"/>
                <w:szCs w:val="15"/>
              </w:rPr>
              <w:t xml:space="preserve">Ordre de
Dépense</w:t>
            </w:r>
          </w:p>
        </w:tc>
        <w:tc>
          <w:tcPr>
            <w:tcW w:type="dxa" w:w="1285"/>
            <w:tcBorders>
              <w:top w:val="single" w:color="5F5E5A" w:sz="3"/>
              <w:left w:val="single" w:color="5F5E5A" w:sz="3"/>
              <w:bottom w:val="single" w:color="5F5E5A" w:sz="3"/>
              <w:right w:val="single" w:color="5F5E5A" w:sz="3"/>
            </w:tcBorders>
            <w:shd w:fill="F1EFE8"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5F5E5A"/>
                <w:sz w:val="15"/>
                <w:szCs w:val="15"/>
              </w:rPr>
              <w:t xml:space="preserve">Achat
pièces</w:t>
            </w:r>
          </w:p>
        </w:tc>
        <w:tc>
          <w:tcPr>
            <w:tcW w:type="dxa" w:w="1285"/>
            <w:tcBorders>
              <w:top w:val="single" w:color="993C1D" w:sz="3"/>
              <w:left w:val="single" w:color="993C1D" w:sz="3"/>
              <w:bottom w:val="single" w:color="993C1D" w:sz="3"/>
              <w:right w:val="single" w:color="993C1D" w:sz="3"/>
            </w:tcBorders>
            <w:shd w:fill="FAECE7"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993C1D"/>
                <w:sz w:val="15"/>
                <w:szCs w:val="15"/>
              </w:rPr>
              <w:t xml:space="preserve">Justifi-
catifs</w:t>
            </w:r>
          </w:p>
        </w:tc>
        <w:tc>
          <w:tcPr>
            <w:tcW w:type="dxa" w:w="1285"/>
            <w:tcBorders>
              <w:top w:val="single" w:color="3C3489" w:sz="3"/>
              <w:left w:val="single" w:color="3C3489" w:sz="3"/>
              <w:bottom w:val="single" w:color="3C3489" w:sz="3"/>
              <w:right w:val="single" w:color="3C3489" w:sz="3"/>
            </w:tcBorders>
            <w:shd w:fill="EEEDF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3C3489"/>
                <w:sz w:val="15"/>
                <w:szCs w:val="15"/>
              </w:rPr>
              <w:t xml:space="preserve">Retour
solde</w:t>
            </w:r>
          </w:p>
        </w:tc>
        <w:tc>
          <w:tcPr>
            <w:tcW w:type="dxa" w:w="1285"/>
            <w:tcBorders>
              <w:top w:val="single" w:color="0F6E56" w:sz="3"/>
              <w:left w:val="single" w:color="0F6E56" w:sz="3"/>
              <w:bottom w:val="single" w:color="0F6E56" w:sz="3"/>
              <w:right w:val="single" w:color="0F6E56" w:sz="3"/>
            </w:tcBorders>
            <w:shd w:fill="E1F5EE" w:val="clear"/>
            <w:tcMar>
              <w:top w:type="dxa" w:w="80"/>
              <w:left w:type="dxa" w:w="150"/>
              <w:bottom w:type="dxa" w:w="80"/>
              <w:right w:type="dxa" w:w="150"/>
            </w:tcMar>
            <w:vAlign w:val="center"/>
          </w:tcPr>
          <w:p>
            <w:pPr>
              <w:spacing w:after="40" w:before="40"/>
              <w:jc w:val="center"/>
            </w:pPr>
            <w:r>
              <w:rPr>
                <w:rFonts w:ascii="Arial" w:cs="Arial" w:eastAsia="Arial" w:hAnsi="Arial"/>
                <w:b/>
                <w:bCs/>
                <w:i w:val="false"/>
                <w:iCs w:val="false"/>
                <w:color w:val="0F6E56"/>
                <w:sz w:val="15"/>
                <w:szCs w:val="15"/>
              </w:rPr>
              <w:t xml:space="preserve">Comptabili-
sation</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c>
          <w:tcPr>
            <w:tcW w:type="dxa" w:w="2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Palier</w:t>
            </w:r>
          </w:p>
        </w:tc>
        <w:tc>
          <w:tcPr>
            <w:tcW w:type="dxa" w:w="42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Approbateurs — HORIZON (spécifique)</w:t>
            </w:r>
          </w:p>
        </w:tc>
        <w:tc>
          <w:tcPr>
            <w:tcW w:type="dxa" w:w="2400"/>
            <w:tcBorders>
              <w:top w:val="single" w:color="3C3489" w:sz="4"/>
              <w:left w:val="single" w:color="3C3489" w:sz="4"/>
              <w:bottom w:val="single" w:color="3C3489" w:sz="4"/>
              <w:right w:val="single" w:color="3C3489" w:sz="4"/>
            </w:tcBorders>
            <w:shd w:fill="3C3489"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6"/>
                <w:szCs w:val="16"/>
              </w:rPr>
              <w:t xml:space="preserve">Mode</w:t>
            </w:r>
          </w:p>
        </w:tc>
      </w:tr>
      <w:tr>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Demande (tous montants)</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DG Arsène + DT Ruffin conjointement (caractère technique des demandes HORIZON)</w:t>
            </w:r>
          </w:p>
        </w:tc>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Conjointement</w:t>
            </w:r>
          </w:p>
        </w:tc>
      </w:tr>
      <w:tr>
        <w:tc>
          <w:tcPr>
            <w:tcW w:type="dxa" w:w="2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 1 000 USD</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seul</w:t>
            </w:r>
          </w:p>
        </w:tc>
        <w:tc>
          <w:tcPr>
            <w:tcW w:type="dxa" w:w="2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r>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1 001–10 000 USD</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DFI + DG Arsène + Admin Huguette + Président</w:t>
            </w:r>
          </w:p>
        </w:tc>
        <w:tc>
          <w:tcPr>
            <w:tcW w:type="dxa" w:w="24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Conjointement</w:t>
            </w:r>
          </w:p>
        </w:tc>
      </w:tr>
      <w:tr>
        <w:tc>
          <w:tcPr>
            <w:tcW w:type="dxa" w:w="2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854F0B"/>
                <w:sz w:val="17"/>
                <w:szCs w:val="17"/>
              </w:rPr>
              <w:t xml:space="preserve">&gt; 10 000 USD</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Président seul</w:t>
            </w:r>
          </w:p>
        </w:tc>
        <w:tc>
          <w:tcPr>
            <w:tcW w:type="dxa" w:w="24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iCs/>
                <w:color w:val="5F5E5A"/>
                <w:sz w:val="17"/>
                <w:szCs w:val="17"/>
              </w:rPr>
              <w:t xml:space="preserve">Seul</w:t>
            </w:r>
          </w:p>
        </w:tc>
      </w:tr>
    </w:tbl>
    <w:p>
      <w:pPr>
        <w:spacing w:after="80" w:before="12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les achats de pièces de rechange et les dépenses de maintenance des engins miniers, dans le cadre du système d'avances à justifier. HORIZON n'ayant pas de stock de pièces, les achats sont effectués au besoin, avec validation technique obligatoire du DT Ruffin.</w:t>
      </w:r>
    </w:p>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Particularité HORIZON : les demandes d'achat de pièces de rechange nécessitent une double validation technique — DG Arsène ET DT Ruffin — avant tout décaissement. Le DT Ruffin est le seul à pouvoir certifier la nature et la nécessité technique des pièces demandées.</w:t>
            </w:r>
          </w:p>
        </w:tc>
      </w:tr>
    </w:tbl>
    <w:p>
      <w:pPr>
        <w:spacing w:after="80" w:before="8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Ruffin /
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Identifie le besoin de pièces de rechange (panne engin, entretien préventif planifié). Le DT Ruffin établit les spécifications techniques précises des pièces nécessaires. Vinciane prépare la Requisition Form HORIZON avec le détail technique.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Requisition Form HORIZON — spécifications DT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Soumet la Requisition Form par e-mail au DG Arsène ET au DT Ruffin pour validation conjointe de la demande (circuit spécifique HORIZON).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validation → DG Arsène + DT Ruffin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DG Arsène +
DT Ruffin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Valident conjointement par e-mail. Le DT Ruffin certifie la nécessité technique. Le DG Arsène approuve l'engagement de dépense. En urgence : Président peut valider seul.</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E-mail validation conjoint DG + DT</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Reçoit la validation conjointe. Émet l'Ordre de Dépense KAKO selon palier applicable : ≤ 1 000 USD (DFI seul), 1 001–10 000 USD (DFI + DG + Admin Huguette + Président), &gt; 10 000 USD (Président seul).</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Ordre de Dépense KAKO signé</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 —
Caissière Likasi</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Sur présentation de l'Ordre de Dépense, décaisse. Bon de Réception de Fonds KAKO signé par Vinciane ou le DT.</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Bon de Réception de Fonds KAKO</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Ruffin /
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Procède à l'achat des pièces auprès du fournisseur identifié. Collecte la facture fournisseur et les reçus. Remet les pièces au mécanicien pour installation.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Facture fournisseur pièces + reçus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7</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Remplit la Fiche de Justification d'Avance : pièces achetées, montants, fournisseur, factures jointes, solde non utilisé. Remet à Eliane MUSOLO dans les 24h.</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justification + factures + solde</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8</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Met à jour le tableau de suivi du budget département technique (PROC-HZ-06) : nature de la dépense, engin concerné, montant, imputation.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budget DT — mise à jour</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Aucune pièce de rechange ne peut être achetée sans la validation conjointe DG Arsène + DT Ruffin, y compris en cas d'urgence. En cas de panne critique bloquant une prestation client, le DT Ruffin contacte le DG Arsène et le DFI simultanément pour approbation verbale immédiate, suivie d'une régularisation écrite dans les 2h.</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3C3489" w:sz="5"/>
              <w:left w:val="single" w:color="3C3489" w:sz="5"/>
              <w:bottom w:val="single" w:color="3C3489" w:sz="5"/>
              <w:right w:val="single" w:color="3C3489" w:sz="5"/>
            </w:tcBorders>
            <w:shd w:fill="EEEDFE"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3C3489"/>
                <w:sz w:val="20"/>
                <w:szCs w:val="20"/>
              </w:rPr>
              <w:t xml:space="preserve">!</w:t>
            </w:r>
          </w:p>
        </w:tc>
        <w:tc>
          <w:tcPr>
            <w:tcW w:type="dxa" w:w="8700"/>
            <w:tcBorders>
              <w:top w:val="single" w:color="3C3489" w:sz="5"/>
              <w:left w:val="nil" w:color="FFFFFF" w:sz="0"/>
              <w:bottom w:val="single" w:color="3C3489" w:sz="5"/>
              <w:right w:val="single" w:color="3C3489" w:sz="5"/>
            </w:tcBorders>
            <w:shd w:fill="EEEDFE"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3C3489"/>
                <w:sz w:val="18"/>
                <w:szCs w:val="18"/>
              </w:rPr>
              <w:t xml:space="preserve">Les factures fournisseurs de pièces de rechange doivent mentionner la référence de la pièce et l'engin concerné. Cette information est indispensable pour le suivi du coût de maintenance par engin, qui est un indicateur clé de rentabilité pour HORIZON.</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PROC-HZ-05   |   Ets HORIZON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Ets HORIZON — Procédures Opérationnelles</w:t>
            </w:r>
          </w:p>
          <w:p>
            <w:pPr>
              <w:spacing w:after="40" w:before="0"/>
              <w:jc w:val="center"/>
            </w:pPr>
            <w:r>
              <w:rPr>
                <w:rFonts w:ascii="Arial" w:cs="Arial" w:eastAsia="Arial" w:hAnsi="Arial"/>
                <w:b/>
                <w:bCs/>
                <w:i w:val="false"/>
                <w:iCs w:val="false"/>
                <w:color w:val="FFFFFF"/>
                <w:sz w:val="22"/>
                <w:szCs w:val="22"/>
              </w:rPr>
              <w:t xml:space="preserve">PROC-HZ-06 — Suivi du budget département technique</w:t>
            </w:r>
          </w:p>
        </w:tc>
      </w:tr>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Maintenance — Contrôle   |   Fréquence : Hebdomadaire + mensuel</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Assurer le suivi continu des dépenses du département technique HORIZON (pièces de rechange, maintenance, carburant engins, main-d'œuvre externe) par rapport au budget alloué, et produire le rapport mensuel de performance technique.</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854F0B"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854F0B" w:sz="4"/>
              <w:left w:val="single" w:color="854F0B" w:sz="4"/>
              <w:bottom w:val="single" w:color="854F0B" w:sz="4"/>
              <w:right w:val="single" w:color="854F0B" w:sz="4"/>
            </w:tcBorders>
            <w:shd w:fill="854F0B"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Ass. Tech.
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Tient à jour le tableau de suivi du budget DT : chaque dépense de maintenance est enregistrée avec la date, la nature, l'engin concerné, le montant et le cumul mensuel par catégorie (pièces, main-d'œuvre, carburant engins, autres).</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budget DT HORIZON — en continu</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Chaque lundi, prépare le rapport hebdo budget DT : dépenses de la semaine, cumul mensuel à date, ratio dépenses maintenance / revenus prestations à date. Transmet au DFI et au DT Ruffin.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hebdo budget DT → DFI + DT Ruffin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DT Ruffin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Examine le rapport. Identifie les engins dont les coûts de maintenance sont anormalement élevés. Planifie les interventions préventives. Informe le DFI de tout dépassement budgétaire prévisible.</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Analyse DT — engins à surveiller</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DFI (vous)</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Suit le ratio coût maintenance / revenus prestations. Alerte la DG si le ratio dépasse [seuil à définir]. Décide d'éventuelles révisions budgétaires avec le DT et la DG.</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Tableau de bord DFI — ratio maintenance/CA</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En fin de mois, prépare le Rapport Mensuel du Département Technique : total dépenses par catégorie et par engin, comparatif budget vs réel, analyse des écarts, recommendations DT. Transmet au DFI.</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Rapport Mensuel DT — transmis au DFI</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18"/>
                <w:szCs w:val="18"/>
              </w:rPr>
              <w:t xml:space="preserve">6</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Valide la cohérence entre le tableau budget DT de Vinciane et les écritures comptables des dépenses HORIZON du mois. Tout écart est signalé au DFI.</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Réconciliation comptable budget DT</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Le ratio coût de maintenance par engin / revenus générés par cet engin est l'indicateur clé de rentabilité de la flotte HORIZON. Un engin dont les coûts de maintenance dépassent systématiquement ses revenus de location doit faire l'objet d'une analyse de cession ou de remplacement soumise à la DG.</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PROC-HZ-06   |   Ets HORIZON — Procédures Opérationnelles   |   Confidentiel</w:t>
      </w:r>
    </w:p>
    <w:p>
      <w:pPr>
        <w:spacing w:after="80" w:before="0"/>
        <w:jc w:val="left"/>
      </w:pPr>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3C3489" w:val="clear"/>
            <w:tcMar>
              <w:top w:type="dxa" w:w="80"/>
              <w:left w:type="dxa" w:w="150"/>
              <w:bottom w:type="dxa" w:w="80"/>
              <w:right w:type="dxa" w:w="150"/>
            </w:tcMar>
            <w:vAlign w:val="center"/>
          </w:tcPr>
          <w:p>
            <w:pPr>
              <w:spacing w:after="6" w:before="40"/>
              <w:jc w:val="center"/>
            </w:pPr>
            <w:r>
              <w:rPr>
                <w:rFonts w:ascii="Arial" w:cs="Arial" w:eastAsia="Arial" w:hAnsi="Arial"/>
                <w:b w:val="false"/>
                <w:bCs w:val="false"/>
                <w:i w:val="false"/>
                <w:iCs w:val="false"/>
                <w:color w:val="CECBF6"/>
                <w:sz w:val="15"/>
                <w:szCs w:val="15"/>
              </w:rPr>
              <w:t xml:space="preserve">Ets HORIZON — Procédures Opérationnelles</w:t>
            </w:r>
          </w:p>
          <w:p>
            <w:pPr>
              <w:spacing w:after="40" w:before="0"/>
              <w:jc w:val="center"/>
            </w:pPr>
            <w:r>
              <w:rPr>
                <w:rFonts w:ascii="Arial" w:cs="Arial" w:eastAsia="Arial" w:hAnsi="Arial"/>
                <w:b/>
                <w:bCs/>
                <w:i w:val="false"/>
                <w:iCs w:val="false"/>
                <w:color w:val="FFFFFF"/>
                <w:sz w:val="22"/>
                <w:szCs w:val="22"/>
              </w:rPr>
              <w:t xml:space="preserve">PROC-HZ-07 — Justification des avances &amp; comptabilisation (Raphael K.)</w:t>
            </w:r>
          </w:p>
        </w:tc>
      </w:tr>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50" w:before="50"/>
              <w:jc w:val="center"/>
            </w:pPr>
            <w:r>
              <w:rPr>
                <w:rFonts w:ascii="Arial" w:cs="Arial" w:eastAsia="Arial" w:hAnsi="Arial"/>
                <w:b w:val="false"/>
                <w:bCs w:val="false"/>
                <w:i w:val="false"/>
                <w:iCs w:val="false"/>
                <w:color w:val="FFFFFF"/>
                <w:sz w:val="16"/>
                <w:szCs w:val="16"/>
              </w:rPr>
              <w:t xml:space="preserve">Catégorie : Financier   |   Fréquence : Après chaque dépense sur avance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1. Objet</w:t>
            </w:r>
          </w:p>
        </w:tc>
      </w:tr>
    </w:tbl>
    <w:p>
      <w:pPr>
        <w:spacing w:after="80" w:before="50"/>
        <w:jc w:val="left"/>
      </w:pPr>
      <w:r>
        <w:rPr>
          <w:rFonts w:ascii="Arial" w:cs="Arial" w:eastAsia="Arial" w:hAnsi="Arial"/>
          <w:b w:val="false"/>
          <w:bCs w:val="false"/>
          <w:i w:val="false"/>
          <w:iCs w:val="false"/>
          <w:color w:val="2C2C2A"/>
          <w:sz w:val="20"/>
          <w:szCs w:val="20"/>
        </w:rPr>
        <w:t xml:space="preserve"/>
      </w:r>
    </w:p>
    <w:p>
      <w:pPr>
        <w:spacing w:after="80" w:before="0"/>
        <w:jc w:val="left"/>
      </w:pPr>
      <w:r>
        <w:rPr>
          <w:rFonts w:ascii="Arial" w:cs="Arial" w:eastAsia="Arial" w:hAnsi="Arial"/>
          <w:b w:val="false"/>
          <w:bCs w:val="false"/>
          <w:i w:val="false"/>
          <w:iCs w:val="false"/>
          <w:color w:val="2C2C2A"/>
          <w:sz w:val="20"/>
          <w:szCs w:val="20"/>
        </w:rPr>
        <w:t xml:space="preserve">Encadrer la justification de toutes les avances décaissées dans le cadre des opérations d'Ets HORIZON (principalement achats de pièces de rechange et maintenance) et assurer leur comptabilisation correcte par Raphael KYUNGU.</w:t>
      </w:r>
    </w:p>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2. Délais de justification</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c>
          <w:tcPr>
            <w:tcW w:type="dxa" w:w="4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Type d'avance</w:t>
            </w:r>
          </w:p>
        </w:tc>
        <w:tc>
          <w:tcPr>
            <w:tcW w:type="dxa" w:w="25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Délai</w:t>
            </w:r>
          </w:p>
        </w:tc>
        <w:tc>
          <w:tcPr>
            <w:tcW w:type="dxa" w:w="25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Responsable</w:t>
            </w:r>
          </w:p>
        </w:tc>
      </w:tr>
      <w:tr>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Achat pièces de rechange</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val="false"/>
                <w:iCs w:val="false"/>
                <w:color w:val="2C2C2A"/>
                <w:sz w:val="17"/>
                <w:szCs w:val="17"/>
              </w:rPr>
              <w:t xml:space="preserve">24h après réception pièces</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7"/>
                <w:szCs w:val="17"/>
              </w:rPr>
              <w:t xml:space="preserve">Vinciane / DT Ruffin</w:t>
            </w:r>
          </w:p>
        </w:tc>
      </w:tr>
      <w:tr>
        <w:tc>
          <w:tcPr>
            <w:tcW w:type="dxa" w:w="4000"/>
            <w:tcBorders>
              <w:top w:val="single" w:color="D3D1C7" w:sz="3"/>
              <w:left w:val="single" w:color="D3D1C7" w:sz="3"/>
              <w:bottom w:val="single" w:color="D3D1C7" w:sz="3"/>
              <w:right w:val="single" w:color="D3D1C7" w:sz="3"/>
            </w:tcBorders>
            <w:shd w:fill="FAECE7"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Maintenance &amp; réparation</w:t>
            </w:r>
          </w:p>
        </w:tc>
        <w:tc>
          <w:tcPr>
            <w:tcW w:type="dxa" w:w="2500"/>
            <w:tcBorders>
              <w:top w:val="single" w:color="D3D1C7" w:sz="3"/>
              <w:left w:val="single" w:color="D3D1C7" w:sz="3"/>
              <w:bottom w:val="single" w:color="D3D1C7" w:sz="3"/>
              <w:right w:val="single" w:color="D3D1C7"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val="false"/>
                <w:iCs w:val="false"/>
                <w:color w:val="2C2C2A"/>
                <w:sz w:val="17"/>
                <w:szCs w:val="17"/>
              </w:rPr>
              <w:t xml:space="preserve">24h après fin des travaux</w:t>
            </w:r>
          </w:p>
        </w:tc>
        <w:tc>
          <w:tcPr>
            <w:tcW w:type="dxa" w:w="2500"/>
            <w:tcBorders>
              <w:top w:val="single" w:color="D3D1C7" w:sz="3"/>
              <w:left w:val="single" w:color="D3D1C7" w:sz="3"/>
              <w:bottom w:val="single" w:color="D3D1C7" w:sz="3"/>
              <w:right w:val="single" w:color="D3D1C7" w:sz="3"/>
            </w:tcBorders>
            <w:shd w:fill="FAECE7"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7"/>
                <w:szCs w:val="17"/>
              </w:rPr>
              <w:t xml:space="preserve">Vinciane / DT Ruffin</w:t>
            </w:r>
          </w:p>
        </w:tc>
      </w:tr>
      <w:tr>
        <w:tc>
          <w:tcPr>
            <w:tcW w:type="dxa" w:w="4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left"/>
            </w:pPr>
            <w:r>
              <w:rPr>
                <w:rFonts w:ascii="Arial" w:cs="Arial" w:eastAsia="Arial" w:hAnsi="Arial"/>
                <w:b w:val="false"/>
                <w:bCs w:val="false"/>
                <w:i w:val="false"/>
                <w:iCs w:val="false"/>
                <w:color w:val="2C2C2A"/>
                <w:sz w:val="17"/>
                <w:szCs w:val="17"/>
              </w:rPr>
              <w:t xml:space="preserve">Dépenses opérationnelles diverses</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val="false"/>
                <w:bCs w:val="false"/>
                <w:i w:val="false"/>
                <w:iCs w:val="false"/>
                <w:color w:val="2C2C2A"/>
                <w:sz w:val="17"/>
                <w:szCs w:val="17"/>
              </w:rPr>
              <w:t xml:space="preserve">24h après exécution</w:t>
            </w:r>
          </w:p>
        </w:tc>
        <w:tc>
          <w:tcPr>
            <w:tcW w:type="dxa" w:w="25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7"/>
                <w:szCs w:val="17"/>
              </w:rPr>
              <w:t xml:space="preserve">Vinciane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993C1D"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3. Étapes de la procédure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200"/>
        <w:gridCol w:w="2200"/>
      </w:tblGrid>
      <w:tr>
        <w:tc>
          <w:tcPr>
            <w:tcW w:type="dxa" w:w="6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Étape</w:t>
            </w:r>
          </w:p>
        </w:tc>
        <w:tc>
          <w:tcPr>
            <w:tcW w:type="dxa" w:w="20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FFFFFF"/>
                <w:sz w:val="17"/>
                <w:szCs w:val="17"/>
              </w:rPr>
              <w:t xml:space="preserve">Acteur</w:t>
            </w:r>
          </w:p>
        </w:tc>
        <w:tc>
          <w:tcPr>
            <w:tcW w:type="dxa" w:w="4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Action à réaliser</w:t>
            </w:r>
          </w:p>
        </w:tc>
        <w:tc>
          <w:tcPr>
            <w:tcW w:type="dxa" w:w="2200"/>
            <w:tcBorders>
              <w:top w:val="single" w:color="993C1D" w:sz="4"/>
              <w:left w:val="single" w:color="993C1D" w:sz="4"/>
              <w:bottom w:val="single" w:color="993C1D" w:sz="4"/>
              <w:right w:val="single" w:color="993C1D" w:sz="4"/>
            </w:tcBorders>
            <w:shd w:fill="993C1D" w:val="clear"/>
            <w:tcMar>
              <w:top w:type="dxa" w:w="80"/>
              <w:left w:type="dxa" w:w="150"/>
              <w:bottom w:type="dxa" w:w="80"/>
              <w:right w:type="dxa" w:w="150"/>
            </w:tcMar>
            <w:vAlign w:val="center"/>
          </w:tcPr>
          <w:p>
            <w:pPr>
              <w:spacing w:after="80" w:before="0"/>
              <w:jc w:val="left"/>
            </w:pPr>
            <w:r>
              <w:rPr>
                <w:rFonts w:ascii="Arial" w:cs="Arial" w:eastAsia="Arial" w:hAnsi="Arial"/>
                <w:b/>
                <w:bCs/>
                <w:i w:val="false"/>
                <w:iCs w:val="false"/>
                <w:color w:val="FFFFFF"/>
                <w:sz w:val="17"/>
                <w:szCs w:val="17"/>
              </w:rPr>
              <w:t xml:space="preserve">Document produit / requis</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1</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 /
DT Ruffin</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Collecte tous les justificatifs (factures fournisseurs pièces, reçus divers). Remplit la Fiche de Justification d'Avance : montant reçu, détail dépenses par pièce/service, engin concerné, solde non utilisé.</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Fiche Justification + factures fournisseurs</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2</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Vinciane</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Remet à Eliane MUSOLO : Fiche de Justification signée + justificatifs originaux + solde non utilisé. Délai : 24h après réception ou fin des travaux.</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Remise Eliane — bordereau retour solde</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3</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Eliane MUSOLO</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Contrôle la cohérence (avance = dépenses + solde). Signe la Fiche en accusé de réception. Enregistre le retour de solde au journal de caisse HORIZON. Transmet dossier à Raphael K.</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caisse HORIZON + transmission Raphael K.</w:t>
            </w:r>
          </w:p>
        </w:tc>
      </w:tr>
      <w:tr>
        <w:tc>
          <w:tcPr>
            <w:tcW w:type="dxa" w:w="6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4</w:t>
            </w:r>
          </w:p>
        </w:tc>
        <w:tc>
          <w:tcPr>
            <w:tcW w:type="dxa" w:w="20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 —
Comptable HORIZON</w:t>
            </w:r>
          </w:p>
        </w:tc>
        <w:tc>
          <w:tcPr>
            <w:tcW w:type="dxa" w:w="4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Comptabilise les dépenses par nature : pièces de rechange (immobilisations ou charges selon valeur et durée de vie), main-d'œuvre externe, carburant engins. Précise l'engin concerné dans l'écriture pour le suivi par engin.</w:t>
            </w:r>
          </w:p>
        </w:tc>
        <w:tc>
          <w:tcPr>
            <w:tcW w:type="dxa" w:w="2200"/>
            <w:tcBorders>
              <w:top w:val="single" w:color="D3D1C7" w:sz="3"/>
              <w:left w:val="single" w:color="D3D1C7" w:sz="3"/>
              <w:bottom w:val="single" w:color="D3D1C7" w:sz="3"/>
              <w:right w:val="single" w:color="D3D1C7" w:sz="3"/>
            </w:tcBorders>
            <w:shd w:fill="F1EFE8"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Journal comptable HORIZON — charges maintenance par engin</w:t>
            </w:r>
          </w:p>
        </w:tc>
      </w:tr>
      <w:tr>
        <w:tc>
          <w:tcPr>
            <w:tcW w:type="dxa" w:w="6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993C1D"/>
                <w:sz w:val="18"/>
                <w:szCs w:val="18"/>
              </w:rPr>
              <w:t xml:space="preserve">5</w:t>
            </w:r>
          </w:p>
        </w:tc>
        <w:tc>
          <w:tcPr>
            <w:tcW w:type="dxa" w:w="20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bCs/>
                <w:i w:val="false"/>
                <w:iCs w:val="false"/>
                <w:color w:val="2C2C2A"/>
                <w:sz w:val="18"/>
                <w:szCs w:val="18"/>
              </w:rPr>
              <w:t xml:space="preserve">Raphael KYUNGU</w:t>
            </w:r>
          </w:p>
        </w:tc>
        <w:tc>
          <w:tcPr>
            <w:tcW w:type="dxa" w:w="4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val="false"/>
                <w:iCs w:val="false"/>
                <w:color w:val="2C2C2A"/>
                <w:sz w:val="18"/>
                <w:szCs w:val="18"/>
              </w:rPr>
              <w:t xml:space="preserve">Solde l'avance en comptabilité. Transmet le récapitulatif mensuel des dépenses par engin à Vinciane pour validation avec le tableau budget DT (PROC-HZ-06).</w:t>
            </w:r>
          </w:p>
        </w:tc>
        <w:tc>
          <w:tcPr>
            <w:tcW w:type="dxa" w:w="2200"/>
            <w:tcBorders>
              <w:top w:val="single" w:color="D3D1C7" w:sz="3"/>
              <w:left w:val="single" w:color="D3D1C7" w:sz="3"/>
              <w:bottom w:val="single" w:color="D3D1C7" w:sz="3"/>
              <w:right w:val="single" w:color="D3D1C7" w:sz="3"/>
            </w:tcBorders>
            <w:shd w:fill="FFFFFF" w:val="clear"/>
            <w:tcMar>
              <w:top w:type="dxa" w:w="80"/>
              <w:left w:type="dxa" w:w="150"/>
              <w:bottom w:type="dxa" w:w="80"/>
              <w:right w:type="dxa" w:w="150"/>
            </w:tcMar>
            <w:vAlign w:val="center"/>
          </w:tcPr>
          <w:p>
            <w:pPr>
              <w:spacing w:after="30" w:before="30"/>
              <w:jc w:val="left"/>
            </w:pPr>
            <w:r>
              <w:rPr>
                <w:rFonts w:ascii="Arial" w:cs="Arial" w:eastAsia="Arial" w:hAnsi="Arial"/>
                <w:b w:val="false"/>
                <w:bCs w:val="false"/>
                <w:i/>
                <w:iCs/>
                <w:color w:val="5F5E5A"/>
                <w:sz w:val="17"/>
                <w:szCs w:val="17"/>
              </w:rPr>
              <w:t xml:space="preserve">Récapitulatif dépenses par engin → Vinciane</w:t>
            </w:r>
          </w:p>
        </w:tc>
      </w:tr>
    </w:tbl>
    <w:p>
      <w:pPr>
        <w:spacing w:after="80" w:before="10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il" w:color="FFFFFF" w:sz="0"/>
              <w:left w:val="nil" w:color="FFFFFF" w:sz="0"/>
              <w:bottom w:val="nil" w:color="FFFFFF" w:sz="0"/>
              <w:right w:val="nil" w:color="FFFFFF" w:sz="0"/>
            </w:tcBorders>
            <w:shd w:fill="5F5E5A" w:val="clear"/>
            <w:tcMar>
              <w:top w:type="dxa" w:w="80"/>
              <w:left w:type="dxa" w:w="150"/>
              <w:bottom w:type="dxa" w:w="80"/>
              <w:right w:type="dxa" w:w="150"/>
            </w:tcMar>
            <w:vAlign w:val="center"/>
          </w:tcPr>
          <w:p>
            <w:pPr>
              <w:spacing w:after="70" w:before="70"/>
              <w:jc w:val="left"/>
            </w:pPr>
            <w:r>
              <w:rPr>
                <w:rFonts w:ascii="Arial" w:cs="Arial" w:eastAsia="Arial" w:hAnsi="Arial"/>
                <w:b/>
                <w:bCs/>
                <w:i w:val="false"/>
                <w:iCs w:val="false"/>
                <w:color w:val="FFFFFF"/>
                <w:sz w:val="20"/>
                <w:szCs w:val="20"/>
              </w:rPr>
              <w:t xml:space="preserve">4. Points de contrôle</w:t>
            </w:r>
          </w:p>
        </w:tc>
      </w:tr>
    </w:tbl>
    <w:p>
      <w:pPr>
        <w:spacing w:after="80" w:before="5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854F0B" w:sz="5"/>
              <w:left w:val="single" w:color="854F0B" w:sz="5"/>
              <w:bottom w:val="single" w:color="854F0B" w:sz="5"/>
              <w:right w:val="single" w:color="854F0B" w:sz="5"/>
            </w:tcBorders>
            <w:shd w:fill="FAEEDA"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854F0B"/>
                <w:sz w:val="20"/>
                <w:szCs w:val="20"/>
              </w:rPr>
              <w:t xml:space="preserve">!</w:t>
            </w:r>
          </w:p>
        </w:tc>
        <w:tc>
          <w:tcPr>
            <w:tcW w:type="dxa" w:w="8700"/>
            <w:tcBorders>
              <w:top w:val="single" w:color="854F0B" w:sz="5"/>
              <w:left w:val="nil" w:color="FFFFFF" w:sz="0"/>
              <w:bottom w:val="single" w:color="854F0B" w:sz="5"/>
              <w:right w:val="single" w:color="854F0B" w:sz="5"/>
            </w:tcBorders>
            <w:shd w:fill="FAEEDA"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854F0B"/>
                <w:sz w:val="18"/>
                <w:szCs w:val="18"/>
              </w:rPr>
              <w:t xml:space="preserve">La comptabilisation des pièces de rechange doit distinguer : les pièces de valeur significative et longue durée de vie (à immobiliser — compte 2xxx) et les consommables courants (à charger directement — compte 6xxx). Cette distinction est déterminée par le DT Ruffin et le DFI conjointement, et doit être appliquée systématiquement.</w:t>
            </w:r>
          </w:p>
        </w:tc>
      </w:tr>
    </w:tbl>
    <w:p>
      <w:pPr>
        <w:spacing w:after="80" w:before="60"/>
        <w:jc w:val="left"/>
      </w:pPr>
      <w:r>
        <w:rPr>
          <w:rFonts w:ascii="Arial" w:cs="Arial" w:eastAsia="Arial" w:hAnsi="Arial"/>
          <w:b w:val="false"/>
          <w:bCs w:val="false"/>
          <w:i w:val="false"/>
          <w:iCs w:val="false"/>
          <w:color w:val="2C2C2A"/>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
        <w:gridCol w:w="8700"/>
      </w:tblGrid>
      <w:tr>
        <w:tc>
          <w:tcPr>
            <w:tcW w:type="dxa" w:w="300"/>
            <w:tcBorders>
              <w:top w:val="single" w:color="A32D2D" w:sz="5"/>
              <w:left w:val="single" w:color="A32D2D" w:sz="5"/>
              <w:bottom w:val="single" w:color="A32D2D" w:sz="5"/>
              <w:right w:val="single" w:color="A32D2D" w:sz="5"/>
            </w:tcBorders>
            <w:shd w:fill="FCEBEB" w:val="clear"/>
            <w:tcMar>
              <w:top w:type="dxa" w:w="80"/>
              <w:left w:type="dxa" w:w="150"/>
              <w:bottom w:type="dxa" w:w="80"/>
              <w:right w:type="dxa" w:w="150"/>
            </w:tcMar>
            <w:vAlign w:val="center"/>
          </w:tcPr>
          <w:p>
            <w:pPr>
              <w:spacing w:after="80" w:before="0"/>
              <w:jc w:val="center"/>
            </w:pPr>
            <w:r>
              <w:rPr>
                <w:rFonts w:ascii="Arial" w:cs="Arial" w:eastAsia="Arial" w:hAnsi="Arial"/>
                <w:b/>
                <w:bCs/>
                <w:i w:val="false"/>
                <w:iCs w:val="false"/>
                <w:color w:val="A32D2D"/>
                <w:sz w:val="20"/>
                <w:szCs w:val="20"/>
              </w:rPr>
              <w:t xml:space="preserve">!</w:t>
            </w:r>
          </w:p>
        </w:tc>
        <w:tc>
          <w:tcPr>
            <w:tcW w:type="dxa" w:w="8700"/>
            <w:tcBorders>
              <w:top w:val="single" w:color="A32D2D" w:sz="5"/>
              <w:left w:val="nil" w:color="FFFFFF" w:sz="0"/>
              <w:bottom w:val="single" w:color="A32D2D" w:sz="5"/>
              <w:right w:val="single" w:color="A32D2D" w:sz="5"/>
            </w:tcBorders>
            <w:shd w:fill="FCEBEB" w:val="clear"/>
            <w:tcMar>
              <w:top w:type="dxa" w:w="80"/>
              <w:left w:type="dxa" w:w="150"/>
              <w:bottom w:type="dxa" w:w="80"/>
              <w:right w:type="dxa" w:w="150"/>
            </w:tcMar>
            <w:vAlign w:val="center"/>
          </w:tcPr>
          <w:p>
            <w:pPr>
              <w:spacing w:after="20" w:before="20"/>
              <w:jc w:val="left"/>
            </w:pPr>
            <w:r>
              <w:rPr>
                <w:rFonts w:ascii="Arial" w:cs="Arial" w:eastAsia="Arial" w:hAnsi="Arial"/>
                <w:b w:val="false"/>
                <w:bCs w:val="false"/>
                <w:i/>
                <w:iCs/>
                <w:color w:val="A32D2D"/>
                <w:sz w:val="18"/>
                <w:szCs w:val="18"/>
              </w:rPr>
              <w:t xml:space="preserve">Toute avance HORIZON non justifiée dans les 24h est signalée par Eliane MUSOLO au DFI. Le DFI informe simultanément le DT Ruffin. Le blocage de toute nouvelle avance HORIZON est automatique jusqu'à régularisation.</w:t>
            </w:r>
          </w:p>
        </w:tc>
      </w:tr>
    </w:tbl>
    <w:p>
      <w:pPr>
        <w:spacing w:after="80" w:before="80"/>
        <w:jc w:val="left"/>
      </w:pPr>
      <w:r>
        <w:rPr>
          <w:rFonts w:ascii="Arial" w:cs="Arial" w:eastAsia="Arial" w:hAnsi="Arial"/>
          <w:b w:val="false"/>
          <w:bCs w:val="false"/>
          <w:i w:val="false"/>
          <w:iCs w:val="false"/>
          <w:color w:val="2C2C2A"/>
          <w:sz w:val="20"/>
          <w:szCs w:val="20"/>
        </w:rPr>
        <w:t xml:space="preserve"/>
      </w:r>
    </w:p>
    <w:p>
      <w:pPr>
        <w:pBdr>
          <w:bottom w:val="single" w:color="D3D1C7" w:sz="6" w:space="1"/>
        </w:pBdr>
        <w:spacing w:after="40" w:before="40"/>
        <w:jc w:val="left"/>
      </w:pPr>
      <w:r>
        <w:rPr>
          <w:rFonts w:ascii="Arial" w:cs="Arial" w:eastAsia="Arial" w:hAnsi="Arial"/>
          <w:b w:val="false"/>
          <w:bCs w:val="false"/>
          <w:i w:val="false"/>
          <w:iCs w:val="false"/>
          <w:color w:val="2C2C2A"/>
          <w:sz w:val="20"/>
          <w:szCs w:val="20"/>
        </w:rPr>
        <w:t xml:space="preserve"/>
      </w:r>
    </w:p>
    <w:p>
      <w:pPr>
        <w:spacing w:after="80" w:before="0"/>
        <w:jc w:val="center"/>
      </w:pPr>
      <w:r>
        <w:rPr>
          <w:rFonts w:ascii="Arial" w:cs="Arial" w:eastAsia="Arial" w:hAnsi="Arial"/>
          <w:b w:val="false"/>
          <w:bCs w:val="false"/>
          <w:i/>
          <w:iCs/>
          <w:color w:val="5F5E5A"/>
          <w:sz w:val="15"/>
          <w:szCs w:val="15"/>
        </w:rPr>
        <w:t xml:space="preserve">PROC-HZ-07   |   Ets HORIZON — Procédures Opérationnelles   |   Confidentiel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2026-06-16T21:08:50.046Z</dcterms:created>
  <dcterms:modified xsi:type="dcterms:W3CDTF">2026-06-16T21:08:50.062Z</dcterms:modified>
</cp:coreProperties>
</file>

<file path=docProps/custom.xml><?xml version="1.0" encoding="utf-8"?>
<Properties xmlns="http://schemas.openxmlformats.org/officeDocument/2006/custom-properties" xmlns:vt="http://schemas.openxmlformats.org/officeDocument/2006/docPropsVTypes"/>
</file>