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jpg" ContentType="image/jpeg"/>
  <Override PartName="/word/media/rId52.png" ContentType="image/png"/>
  <Override PartName="/word/media/rId55.png" ContentType="image/png"/>
  <Override PartName="/word/media/rId39.jpg" ContentType="image/jpeg"/>
  <Override PartName="/word/media/rId31.svg" ContentType="image/svg+xml"/>
  <Override PartName="/word/media/rId35.png" ContentType="image/png"/>
  <Override PartName="/word/media/rId44.png" ContentType="image/png"/>
  <Override PartName="/word/media/rId42.png" ContentType="image/png"/>
  <Override PartName="/word/media/rId37.svg" ContentType="image/svg+xml"/>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provisoire</w:t>
      </w:r>
      <w:r>
        <w:t xml:space="preserve"> </w:t>
      </w:r>
      <w:r>
        <w:t xml:space="preserve">Ce texte est en cours d’écriture - tout retour est bienvenu.</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laurentperrinet/2019-05_illusions-visuelles@55dc044</w:t>
        </w:r>
      </w:hyperlink>
      <w:r>
        <w:t xml:space="preserve"> </w:t>
      </w:r>
      <w:r>
        <w:t xml:space="preserve">on April 29, 2019.</w:t>
      </w:r>
      <w:r>
        <w:t xml:space="preserve"> </w:t>
      </w:r>
    </w:p>
    <w:p>
      <w:pPr>
        <w:pStyle w:val="Heading2"/>
      </w:pPr>
      <w:bookmarkStart w:id="22" w:name="authors"/>
      <w:r>
        <w:t xml:space="preserve">Authors</w:t>
      </w:r>
      <w:bookmarkEnd w:id="22"/>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29" w:name="résumé"/>
      <w:r>
        <w:t xml:space="preserve">Résumé</w:t>
      </w:r>
      <w:bookmarkEnd w:id="29"/>
    </w:p>
    <w:p>
      <w:pPr>
        <w:pStyle w:val="FirstParagraph"/>
      </w:pPr>
      <w:r>
        <w:t xml:space="preserve">Les illusions visuelles sont des créations d’artistes, de scientifiques et plus récemment du grand public grâce aux réseaux sociaux, qui proposent des situations souvent incongrues, dans lesquelles l’eau remonte une cascade, les personnes volent dans les airs ou des serpents se mettent à tourner. Au-delà de leur indéniable coté ludique, ces illusions nous apprennent beaucoup sur le fonctionnement du cerveau, notamment quand celles-ci se transforment en hallucinations visuelles, dépassant alors les limites des capacités normales de notre perception. En tant que chercheur en Neurosciences à l’Institut de Neurosciences de la Timone à Marseille, je dévoile ici des aspects du fonctionnement du cerveau qui sont souvent méconnus. En particulier, nous verrons pourquoi une image peut tromper nos sens ou comment des objets peuvent voyager dans le temps. Surtout nous essaierons de comprendre le fonctionnement de notre perception visuelle sur les bases d’une théorie de la vision, non pas comme une simple caméra qui enregistre passivement des images, mais comme un processus actif en relation directe avec le monde qui nous entoure.</w:t>
      </w:r>
    </w:p>
    <w:p>
      <w:pPr>
        <w:pStyle w:val="BodyText"/>
      </w:pPr>
      <w:r>
        <w:t xml:space="preserve">Nous allons ici montrer comment les limites de la perception permettent et peuvent nous aider à mieux comprendre le fonctionnement du cerveau et de ses pathologies. En partant des illusions visuelles, nous allons ensuite explorer différentes hypothèses pour comprendre ses illusions, mais aussi pour aborder une neuro-anatomie fonctionnelle des hallucinations et illusions visuelles.</w:t>
      </w:r>
    </w:p>
    <w:p>
      <w:pPr>
        <w:pStyle w:val="Heading2"/>
      </w:pPr>
      <w:bookmarkStart w:id="30" w:name="illusion-visuelle-et-hallucinations"/>
      <w:r>
        <w:t xml:space="preserve">Illusion visuelle et hallucinations</w:t>
      </w:r>
      <w:bookmarkEnd w:id="30"/>
    </w:p>
    <w:p>
      <w:pPr>
        <w:pStyle w:val="FirstParagraph"/>
      </w:pPr>
      <w:r>
        <w:t xml:space="preserve">L’étymologie du mot illusion réfère à la tromperie et nous permet de définir les illusions visuelles comme une stimulation visuelle qui induit une perception décalée par rapport à la réalité physique (le stimulus proximal). Dans l’illusion classique dit de Hering par exemple (voir Figure</w:t>
      </w:r>
      <w:r>
        <w:t xml:space="preserve"> </w:t>
      </w:r>
      <w:hyperlink w:anchor="fig:hering">
        <w:r>
          <w:rPr>
            <w:rStyle w:val="Hyperlink"/>
          </w:rPr>
          <w:t xml:space="preserve">1</w:t>
        </w:r>
      </w:hyperlink>
      <w:r>
        <w:t xml:space="preserve">), deux lignes parallèles placés sur un faisceau de lignes convergente semble courbées comme si le centre de l’image avait gonflé par rapport à sa périphérie. Cette illusion est robuste même si l’on prend une règle pour vérifier physiquement le parallélisme des lignes (ou simplement en enlevant les lignes fuyantes): Il n’est pas possible de ne</w:t>
      </w:r>
      <w:r>
        <w:t xml:space="preserve"> </w:t>
      </w:r>
      <w:r>
        <w:rPr>
          <w:b/>
        </w:rPr>
        <w:t xml:space="preserve">pas</w:t>
      </w:r>
      <w:r>
        <w:t xml:space="preserve"> </w:t>
      </w:r>
      <w:r>
        <w:t xml:space="preserve">la percevoir. Ainsi, pour cette illusion comme pour une grande variété d’autres illusions visuelles statique ou dynamique ou sur d’autres modalités (comme le toucher), les illusions visuelles marquent tout d’abord par ce caractère quasi universel et intuitif, c’est-à-dire sans qu’il faille expliquer un mode d’emploi pour les illusions.</w:t>
      </w:r>
    </w:p>
    <w:bookmarkStart w:id="0" w:name="fig:hering"/>
    <w:p>
      <w:pPr>
        <w:pStyle w:val="CaptionedFigure"/>
      </w:pPr>
      <w:bookmarkStart w:id="32"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1"/>
                    <a:stretch>
                      <a:fillRect/>
                    </a:stretch>
                  </pic:blipFill>
                  <pic:spPr bwMode="auto">
                    <a:xfrm>
                      <a:off x="0" y="0"/>
                      <a:ext cx="5943600" cy="4442152"/>
                    </a:xfrm>
                    <a:prstGeom prst="rect">
                      <a:avLst/>
                    </a:prstGeom>
                    <a:noFill/>
                    <a:ln w="9525">
                      <a:noFill/>
                      <a:headEnd/>
                      <a:tailEnd/>
                    </a:ln>
                  </pic:spPr>
                </pic:pic>
              </a:graphicData>
            </a:graphic>
          </wp:inline>
        </w:drawing>
      </w:r>
      <w:bookmarkEnd w:id="32"/>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À ce titre, une illusion récente est remarquable à bien des égards. En effet, certaines illusions comme le cube de Necker sont multi-stable, dans le sens où la perception peut alterner autour de plusieurs interprétations possibles de la même image. Dans le cas de</w:t>
      </w:r>
      <w:r>
        <w:t xml:space="preserve"> </w:t>
      </w:r>
      <w:hyperlink r:id="rId33">
        <w:r>
          <w:rPr>
            <w:rStyle w:val="Hyperlink"/>
          </w:rPr>
          <w:t xml:space="preserve">#LaRobe</w:t>
        </w:r>
      </w:hyperlink>
      <w:r>
        <w:t xml:space="preserve">, nous avons une image qui a le pouvoir de diviser une population entre des perceptions alternatives. De plus, au lieu d’être créée par des scientifiques, cette illusion est née par</w:t>
      </w:r>
      <w:r>
        <w:t xml:space="preserve"> </w:t>
      </w:r>
      <w:hyperlink r:id="rId34">
        <w:r>
          <w:rPr>
            <w:rStyle w:val="Hyperlink"/>
          </w:rPr>
          <w:t xml:space="preserve">sérendipité</w:t>
        </w:r>
      </w:hyperlink>
      <w:r>
        <w:t xml:space="preserve"> </w:t>
      </w:r>
      <w:r>
        <w:t xml:space="preserve">à partir d’une simple photo prise lors de la préparation d’une cérémonie de mariage. Postée sur les réseaux sociaux, cette photo a eu un destin fulgurant et mondial grâce a l’ambiguïté sur l’interprétation de la couleur de la robe. Ainsi si je vous demande de donner vous-même votre avis à partir de la Figure</w:t>
      </w:r>
      <w:r>
        <w:t xml:space="preserve"> </w:t>
      </w:r>
      <w:hyperlink w:anchor="fig:larobe">
        <w:r>
          <w:rPr>
            <w:rStyle w:val="Hyperlink"/>
          </w:rPr>
          <w:t xml:space="preserve">2</w:t>
        </w:r>
      </w:hyperlink>
      <w:r>
        <w:t xml:space="preserve">, pensez-vous qu’elle est blanche et or ou alors qu’elle est bleue avec des bandes noires ?</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w:t>
      </w:r>
    </w:p>
    <w:bookmarkEnd w:id="0"/>
    <w:p>
      <w:pPr>
        <w:pStyle w:val="BodyText"/>
      </w:pPr>
      <w:r>
        <w:t xml:space="preserve">Même si le débat fait toujours rage, les explications scientifiques (entre autres articles scientifiques ou sessions spéciales de conférence) convergent sur une perception de la couleur de la figure qui est modifiée par le contexte du fond. En effet notre système visuel doit pouvoir identifier la couleur d’un objet (par exemple pour évaluer la maturité d’un fruit comme une balade) quelles que soient les conditions lumineuses, un matin le midi avec une lumière crue ou le crépuscule avec une lumière orangée du soir. Ici le fond est surexposé et rend cette interprétation ambiguë et deux interprétations sont possibles pour cette image comme illustré dans la figure</w:t>
      </w:r>
      <w:r>
        <w:t xml:space="preserve"> </w:t>
      </w:r>
      <w:hyperlink w:anchor="fig:larobe2">
        <w:r>
          <w:rPr>
            <w:rStyle w:val="Hyperlink"/>
          </w:rPr>
          <w:t xml:space="preserve">3</w:t>
        </w:r>
      </w:hyperlink>
      <w:r>
        <w:t xml:space="preserve">: L’illumination ambiante vire -t-elle vers le jaune (la robe est alors perçue bleue) ou le contexte est plutôt bleuâtre (la robe est alors blanche et jaune)? Je peux vous dévoiler que sur un échantillon représentatif une courte majorité voilà la robe bleue et noir. Un aspect remarquable de cette illusion et d’une part sa stabilité et d’autre part la difficulté de changer d’interprétation une fois une première interprétation formée, c’est-à-dire de passer une couleur bleue à une perception d’une couleur blanche. Cette illusion est à mes yeux d’autant plus puissante, car elle met en évidence que les images sont interprétées par notre système visuel. Cela apporte aussi ce message universel qu’une propriété de nos fonctions cognitives et de pouvoir interpréter la même objet physique de différentes façons, et réconcilier des groupes humains qui peuvent avoir des façons contrastées de voir des objets physiques qui sont identiques. Pour reprendre le célèbre proverbe on pourrait dire que « l’illusion est humaine »!</w:t>
      </w:r>
    </w:p>
    <w:bookmarkStart w:id="0" w:name="fig:larobe2"/>
    <w:p>
      <w:pPr>
        <w:pStyle w:val="CaptionedFigure"/>
      </w:pPr>
      <w:bookmarkStart w:id="38"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37"/>
                    <a:stretch>
                      <a:fillRect/>
                    </a:stretch>
                  </pic:blipFill>
                  <pic:spPr bwMode="auto">
                    <a:xfrm>
                      <a:off x="0" y="0"/>
                      <a:ext cx="5943600" cy="6100010"/>
                    </a:xfrm>
                    <a:prstGeom prst="rect">
                      <a:avLst/>
                    </a:prstGeom>
                    <a:noFill/>
                    <a:ln w="9525">
                      <a:noFill/>
                      <a:headEnd/>
                      <a:tailEnd/>
                    </a:ln>
                  </pic:spPr>
                </pic:pic>
              </a:graphicData>
            </a:graphic>
          </wp:inline>
        </w:drawing>
      </w:r>
      <w:bookmarkEnd w:id="38"/>
    </w:p>
    <w:p>
      <w:pPr>
        <w:pStyle w:val="ImageCaption"/>
      </w:pPr>
      <w:r>
        <w:t xml:space="preserve">Figure 3: Le contexte d’illumination ambiante permet de concilier les deux interprétations les plus communes.</w:t>
      </w:r>
    </w:p>
    <w:bookmarkEnd w:id="0"/>
    <w:p>
      <w:pPr>
        <w:pStyle w:val="BodyText"/>
      </w:pPr>
      <w:r>
        <w:t xml:space="preserve">Pour aller plus loin, il est intéressant de considérer cette image prise en 1971 par la sonde Viking d’une partie de la surface de la planète Mars (Figure</w:t>
      </w:r>
      <w:r>
        <w:t xml:space="preserve"> </w:t>
      </w:r>
      <w:hyperlink w:anchor="fig:viking">
        <w:r>
          <w:rPr>
            <w:rStyle w:val="Hyperlink"/>
          </w:rPr>
          <w:t xml:space="preserve">6</w:t>
        </w:r>
      </w:hyperlink>
      <w:r>
        <w:t xml:space="preserve">). L’image est relativement floue, et les points noirs sont des erreurs de mesure mais l’on distingue très clairement un visage de type humain comme une sculpture géante laisser là par une civilisation extraterrestre.</w:t>
      </w:r>
    </w:p>
    <w:bookmarkStart w:id="0" w:name="fig:viking"/>
    <w:p>
      <w:pPr>
        <w:pStyle w:val="CaptionedFigure"/>
      </w:pPr>
      <w:bookmarkStart w:id="40" w:name="fig:viking"/>
      <w:r>
        <w:drawing>
          <wp:inline>
            <wp:extent cx="2540000" cy="2540000"/>
            <wp:effectExtent b="0" l="0" r="0" t="0"/>
            <wp:docPr descr="Figure 4: Un visage sur Mars? En 1971, la sonde Viking prend une surprenante image de la surface de Mars. Une sculpture extraterrestre géante?"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39"/>
                    <a:stretch>
                      <a:fillRect/>
                    </a:stretch>
                  </pic:blipFill>
                  <pic:spPr bwMode="auto">
                    <a:xfrm>
                      <a:off x="0" y="0"/>
                      <a:ext cx="2540000" cy="2540000"/>
                    </a:xfrm>
                    <a:prstGeom prst="rect">
                      <a:avLst/>
                    </a:prstGeom>
                    <a:noFill/>
                    <a:ln w="9525">
                      <a:noFill/>
                      <a:headEnd/>
                      <a:tailEnd/>
                    </a:ln>
                  </pic:spPr>
                </pic:pic>
              </a:graphicData>
            </a:graphic>
          </wp:inline>
        </w:drawing>
      </w:r>
      <w:bookmarkEnd w:id="40"/>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w:t>
      </w:r>
    </w:p>
    <w:bookmarkEnd w:id="0"/>
    <w:p>
      <w:pPr>
        <w:pStyle w:val="BodyText"/>
      </w:pPr>
      <w:r>
        <w:t xml:space="preserve">Quelques 20 ans plus tard, de nouvelles images ont été réalisés par de nouvelles sondes spatiales et montrent aussi une forme de visage. Mais une fois la résolution de l’image affinée, les détails du relief révèlent qu’il n’y a pas physiquement de sculpture de ce type mais seulement un simple rocher. C’est un cas de</w:t>
      </w:r>
      <w:r>
        <w:t xml:space="preserve"> </w:t>
      </w:r>
      <w:hyperlink r:id="rId41">
        <w:r>
          <w:rPr>
            <w:rStyle w:val="Hyperlink"/>
          </w:rPr>
          <w:t xml:space="preserve">paréidolie</w:t>
        </w:r>
      </w:hyperlink>
      <w:r>
        <w:t xml:space="preserve"> </w:t>
      </w:r>
      <w:r>
        <w:t xml:space="preserve">: quelque chose est perçu alors qu’il est physiquement absent. De la même façon, on peut voir un cheval courir dans les nuages, ou le visage du Christ dans un toast, le constat est le même : le système visuel et en particulier la perception qui en découlent non seulement interprète les images, mais sur surtout, il ne peut pas faire autrement que de générer une interprétation à partir d’images, et comme on vient de le voir même si elles ne font pas a priori sens. Dans ce genre d’illusion on se rapproche donc d’une hallucination, qui peut être définie comme une perception sans objet.</w:t>
      </w:r>
    </w:p>
    <w:bookmarkStart w:id="0" w:name="fig:viking"/>
    <w:p>
      <w:pPr>
        <w:pStyle w:val="CaptionedFigure"/>
      </w:pPr>
      <w:bookmarkStart w:id="43" w:name="fig:viking"/>
      <w:r>
        <w:drawing>
          <wp:inline>
            <wp:extent cx="1930400" cy="1905000"/>
            <wp:effectExtent b="0" l="0" r="0" t="0"/>
            <wp:docPr descr="Figure 5: Vingt ans plus tard, une nouvelle sonde peut prendre un nouveau cliché de cette même surface de Mars. À basse résolution, on distingue tuojours un visage…"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2"/>
                    <a:stretch>
                      <a:fillRect/>
                    </a:stretch>
                  </pic:blipFill>
                  <pic:spPr bwMode="auto">
                    <a:xfrm>
                      <a:off x="0" y="0"/>
                      <a:ext cx="1930400" cy="1905000"/>
                    </a:xfrm>
                    <a:prstGeom prst="rect">
                      <a:avLst/>
                    </a:prstGeom>
                    <a:noFill/>
                    <a:ln w="9525">
                      <a:noFill/>
                      <a:headEnd/>
                      <a:tailEnd/>
                    </a:ln>
                  </pic:spPr>
                </pic:pic>
              </a:graphicData>
            </a:graphic>
          </wp:inline>
        </w:drawing>
      </w:r>
      <w:bookmarkEnd w:id="43"/>
    </w:p>
    <w:p>
      <w:pPr>
        <w:pStyle w:val="ImageCaption"/>
      </w:pPr>
      <w:r>
        <w:t xml:space="preserve">Figure 5: Vingt ans plus tard, une nouvelle sonde peut prendre un nouveau cliché de cette même surface de Mars. À basse résolution, on distingue tuojours un visage…</w:t>
      </w:r>
    </w:p>
    <w:bookmarkEnd w:id="0"/>
    <w:bookmarkStart w:id="0" w:name="fig:viking"/>
    <w:p>
      <w:pPr>
        <w:pStyle w:val="CaptionedFigure"/>
      </w:pPr>
      <w:bookmarkStart w:id="45" w:name="fig:viking"/>
      <w:r>
        <w:drawing>
          <wp:inline>
            <wp:extent cx="1930400" cy="1905000"/>
            <wp:effectExtent b="0" l="0" r="0" t="0"/>
            <wp:docPr descr="Figure 6: Mais il disparait à haute résolution. La sculpture est seulement une colline martienne, évidence que nous avions “halluciné” ce visage."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4"/>
                    <a:stretch>
                      <a:fillRect/>
                    </a:stretch>
                  </pic:blipFill>
                  <pic:spPr bwMode="auto">
                    <a:xfrm>
                      <a:off x="0" y="0"/>
                      <a:ext cx="1930400" cy="1905000"/>
                    </a:xfrm>
                    <a:prstGeom prst="rect">
                      <a:avLst/>
                    </a:prstGeom>
                    <a:noFill/>
                    <a:ln w="9525">
                      <a:noFill/>
                      <a:headEnd/>
                      <a:tailEnd/>
                    </a:ln>
                  </pic:spPr>
                </pic:pic>
              </a:graphicData>
            </a:graphic>
          </wp:inline>
        </w:drawing>
      </w:r>
      <w:bookmarkEnd w:id="45"/>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w:t>
      </w:r>
    </w:p>
    <w:bookmarkEnd w:id="0"/>
    <w:p>
      <w:pPr>
        <w:pStyle w:val="BodyText"/>
      </w:pPr>
      <w:r>
        <w:t xml:space="preserve">Pour résumer, les illusions visuelles, en plus de leur côté ludique, nous révèlent des caractéristiques essentielles de notre perception visuelle tant sur leurs caractéristiques universelles que sur les variabilités inter et intra individuelles. Malgré la diversité des formes des illusions visuelles et la diversité des explications qu’on peut leur faire correspondre, existe-t-il des points communs qui permettraient d’en avoir une compréhension unifiée ? Quelles pourraient être les liens profonds entre illusions visuelles avec des hallucinations aussi bien chez les sujets neuro-typique que dans des pathologies psychologiques?</w:t>
      </w:r>
    </w:p>
    <w:p>
      <w:pPr>
        <w:pStyle w:val="Heading2"/>
      </w:pPr>
      <w:bookmarkStart w:id="46" w:name="X287f1ca73815355a6eaef8b46a764e43b5f834d"/>
      <w:r>
        <w:t xml:space="preserve">Perception visuelle et opérations prédictives</w:t>
      </w:r>
      <w:bookmarkEnd w:id="46"/>
    </w:p>
    <w:p>
      <w:pPr>
        <w:pStyle w:val="FirstParagraph"/>
      </w:pP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En effet, l’illusion du flash retardé (</w:t>
      </w:r>
      <w:r>
        <w:t xml:space="preserve">“</w:t>
      </w:r>
      <w:r>
        <w:t xml:space="preserve">Flash Lag Effect</w:t>
      </w:r>
      <w:r>
        <w:t xml:space="preserve">”</w:t>
      </w:r>
      <w:r>
        <w:t xml:space="preserve"> </w:t>
      </w:r>
      <w:r>
        <w:t xml:space="preserve">en anglais, Figure</w:t>
      </w:r>
      <w:r>
        <w:t xml:space="preserve"> </w:t>
      </w:r>
      <w:r>
        <w:t xml:space="preserve">[</w:t>
      </w:r>
      <w:r>
        <w:rPr>
          <w:b/>
        </w:rPr>
        <w:t xml:space="preserve">???</w:t>
      </w:r>
      <w:r>
        <w:t xml:space="preserve">]</w:t>
      </w:r>
      <w:r>
        <w:t xml:space="preserve">)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 par nos organes et de considérer une représentation interne comme un état dit caché, c’est-à-dire un état ou une représentation interne que l’on va essayer d’estimer.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47" w:name="Xefd4a3a9a703d7ad1f48955847fd3b01b2c3f95"/>
      <w:r>
        <w:t xml:space="preserve">Vers une Neuro anatomie fonctionnelle des illusions et des hallucinations</w:t>
      </w:r>
      <w:bookmarkEnd w:id="47"/>
    </w:p>
    <w:p>
      <w:pPr>
        <w:pStyle w:val="FirstParagraph"/>
      </w:pPr>
      <w:r>
        <w:t xml:space="preserve">Au cours de notre description des mécanismes sous-tendant les illusions visuelles nous nous approchons progressivement des hallucinations. Mais à la différence des illusions visuelles, celles-ci émergent sans stimulation sensorielle directe comme le mouvement induit dans la Figure</w:t>
      </w:r>
      <w:r>
        <w:t xml:space="preserve"> </w:t>
      </w:r>
      <w:hyperlink w:anchor="fig:snake">
        <w:r>
          <w:rPr>
            <w:rStyle w:val="Hyperlink"/>
          </w:rPr>
          <w:t xml:space="preserve">7</w:t>
        </w:r>
      </w:hyperlink>
      <w:r>
        <w:t xml:space="preserve">.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 dans un cadre unifié?</w:t>
      </w:r>
    </w:p>
    <w:bookmarkStart w:id="0" w:name="fig:snake"/>
    <w:p>
      <w:pPr>
        <w:pStyle w:val="CaptionedFigure"/>
      </w:pPr>
      <w:bookmarkStart w:id="49"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48"/>
                    <a:stretch>
                      <a:fillRect/>
                    </a:stretch>
                  </pic:blipFill>
                  <pic:spPr bwMode="auto">
                    <a:xfrm>
                      <a:off x="0" y="0"/>
                      <a:ext cx="5943600" cy="4397914"/>
                    </a:xfrm>
                    <a:prstGeom prst="rect">
                      <a:avLst/>
                    </a:prstGeom>
                    <a:noFill/>
                    <a:ln w="9525">
                      <a:noFill/>
                      <a:headEnd/>
                      <a:tailEnd/>
                    </a:ln>
                  </pic:spPr>
                </pic:pic>
              </a:graphicData>
            </a:graphic>
          </wp:inline>
        </w:drawing>
      </w:r>
      <w:bookmarkEnd w:id="49"/>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0">
        <w:r>
          <w:rPr>
            <w:rStyle w:val="Hyperlink"/>
          </w:rPr>
          <w:t xml:space="preserve">Akiyoshi Kitaoka</w:t>
        </w:r>
      </w:hyperlink>
      <w:r>
        <w:t xml:space="preserve"> </w:t>
      </w:r>
      <w:r>
        <w:t xml:space="preserve">induit des hallucinations de mouvements dans une image qui n’en contient pas.</w:t>
      </w:r>
    </w:p>
    <w:bookmarkEnd w:id="0"/>
    <w:p>
      <w:pPr>
        <w:pStyle w:val="Heading3"/>
      </w:pPr>
      <w:bookmarkStart w:id="51" w:name="Xce6d07b7130e428860667211f6a9cfe9f8f5780"/>
      <w:r>
        <w:t xml:space="preserve">La contrainte de la représentation corticale</w:t>
      </w:r>
      <w:bookmarkEnd w:id="51"/>
    </w:p>
    <w:p>
      <w:pPr>
        <w:pStyle w:val="FirstParagraph"/>
      </w:pPr>
      <w:r>
        <w:t xml:space="preserve">Une hypothèse novatrice proposée par Paul Bressloff et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hallucinations dans l’interaction entre la structure de la représentation rétinienne et des représentations de cette espace visuel dans l’aire visuelle primaire. En effet, la représentation rétinienne de l’espace visuel est organisé de façon radiale depuis le point de fixation (polaire) avec une forte densité de photorécepteurs près de l’axe de vision. La représentation corticale d’une ligne est un segment dans l’espace cortical et inversement un segment dans l’espace cortical va apparaître et être perçu comme une spirale une fois re-projetée dans l’espace visuel codé par l’espace rétinien. En se basant sur une modélisation des connexions latérales entre des populations voisines de neurones de l’aire visuelle primaire, ces auteurs ont alors établi dans un modèle de champ neural qui régit la dynamique de la carte d’activité l’émergence structurée de représentations privilégiées. Comme nous l’avons décrit à l’échelle macroscopique avec notre modèle d’agent schizophrénique</w:t>
      </w:r>
      <w:r>
        <w:t xml:space="preserve"> </w:t>
      </w:r>
      <w:r>
        <w:t xml:space="preserve">[</w:t>
      </w:r>
      <w:hyperlink w:anchor="ref-hQTLOkzF">
        <w:r>
          <w:rPr>
            <w:rStyle w:val="Hyperlink"/>
          </w:rPr>
          <w:t xml:space="preserve">4</w:t>
        </w:r>
      </w:hyperlink>
      <w:r>
        <w:t xml:space="preserve">]</w:t>
      </w:r>
      <w:r>
        <w:t xml:space="preserve">, ces auteurs ont alors analysé mathématiquement les états du système quand on perturbe certains paramètres du système, notamment les poids synaptiques régissant les interactions dans la carte corticale.</w:t>
      </w:r>
      <w:r>
        <w:t xml:space="preserve"> </w:t>
      </w:r>
      <w:r>
        <w:t xml:space="preserve">Ils ont alors montré un point essentiel : à partir d’un certain seuil de prise de drogue, des « hallucinations » peuvent émerger comme des structures stables dans la carte corticale. Étonnamment, ces états une fois un re-projetés sur l’espace visuel dessinent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 neuro-géométrie », c’est-à-dire un formalisme mathématique reliant neurosciences et la géométrie des relations existant entre des sous module de l’aire visuelle primaire. On peut aussi imaginer alors des hallucinations plus complexes émerger de réseaux plus complexes qui représentent par exemple des superpositions de visages.</w:t>
      </w:r>
    </w:p>
    <w:bookmarkStart w:id="0" w:name="fig:hallu"/>
    <w:p>
      <w:pPr>
        <w:pStyle w:val="CaptionedFigure"/>
      </w:pPr>
      <w:bookmarkStart w:id="53" w:name="fig:hallu"/>
      <w:r>
        <w:drawing>
          <wp:inline>
            <wp:extent cx="5943600" cy="4203510"/>
            <wp:effectExtent b="0" l="0" r="0" t="0"/>
            <wp:docPr descr="Figure 8: Modèles d’hallucination Une modélisation mathématique permet de prédire la forme d’ahhluciantions induites par des drogues."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2"/>
                    <a:stretch>
                      <a:fillRect/>
                    </a:stretch>
                  </pic:blipFill>
                  <pic:spPr bwMode="auto">
                    <a:xfrm>
                      <a:off x="0" y="0"/>
                      <a:ext cx="5943600" cy="4203510"/>
                    </a:xfrm>
                    <a:prstGeom prst="rect">
                      <a:avLst/>
                    </a:prstGeom>
                    <a:noFill/>
                    <a:ln w="9525">
                      <a:noFill/>
                      <a:headEnd/>
                      <a:tailEnd/>
                    </a:ln>
                  </pic:spPr>
                </pic:pic>
              </a:graphicData>
            </a:graphic>
          </wp:inline>
        </w:drawing>
      </w:r>
      <w:bookmarkEnd w:id="53"/>
    </w:p>
    <w:p>
      <w:pPr>
        <w:pStyle w:val="ImageCaption"/>
      </w:pPr>
      <w:r>
        <w:t xml:space="preserve">Figure 8:</w:t>
      </w:r>
      <w:r>
        <w:t xml:space="preserve"> </w:t>
      </w:r>
      <w:r>
        <w:rPr>
          <w:b/>
        </w:rPr>
        <w:t xml:space="preserve">Modèles d’hallucination</w:t>
      </w:r>
      <w:r>
        <w:t xml:space="preserve"> </w:t>
      </w:r>
      <w:r>
        <w:t xml:space="preserve">Une modélisation mathématique permet de prédire la forme d’ahhluciantions induites par des drogues.</w:t>
      </w:r>
    </w:p>
    <w:bookmarkEnd w:id="0"/>
    <w:p>
      <w:pPr>
        <w:pStyle w:val="Heading3"/>
      </w:pPr>
      <w:bookmarkStart w:id="54" w:name="le-rôle-des-vagues-dactivité"/>
      <w:r>
        <w:t xml:space="preserve">Le rôle des vagues d’activité</w:t>
      </w:r>
      <w:bookmarkEnd w:id="54"/>
    </w:p>
    <w:p>
      <w:pPr>
        <w:pStyle w:val="FirstParagraph"/>
      </w:pPr>
      <w:r>
        <w:t xml:space="preserve">Pour aller plus loin 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w:t>
      </w:r>
      <w:hyperlink w:anchor="ref-cAAUyqwj">
        <w:r>
          <w:rPr>
            <w:rStyle w:val="Hyperlink"/>
          </w:rPr>
          <w:t xml:space="preserve">6</w:t>
        </w:r>
      </w:hyperlink>
      <w:r>
        <w:t xml:space="preserve">]</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hyperlink w:anchor="fig:chemla">
        <w:r>
          <w:rPr>
            <w:rStyle w:val="Hyperlink"/>
          </w:rPr>
          <w:t xml:space="preserve">9</w:t>
        </w:r>
      </w:hyperlink>
      <w:r>
        <w:t xml:space="preserve">. Toutefois, beaucoup de questions restent en suspens. Ces résultats montrent le rôle potentiel des vagues d’activité sur la surface du cortex comme un outil potentiel de traitement de l’information et de sa modulation</w:t>
      </w:r>
      <w:r>
        <w:t xml:space="preserve"> </w:t>
      </w:r>
      <w:r>
        <w:t xml:space="preserve">[</w:t>
      </w:r>
      <w:hyperlink w:anchor="ref-9OxNsfYF">
        <w:r>
          <w:rPr>
            <w:rStyle w:val="Hyperlink"/>
          </w:rPr>
          <w:t xml:space="preserve">7</w:t>
        </w:r>
      </w:hyperlink>
      <w:r>
        <w:t xml:space="preserve">]</w:t>
      </w:r>
      <w:r>
        <w:t xml:space="preserve">. Ces vagues peuvent en effet induire facilitations ou suppressions dans l’espace et le temps et produire une forme de « calcul » pour représenter au mieux l’image visuelle.</w:t>
      </w:r>
    </w:p>
    <w:bookmarkStart w:id="0" w:name="fig:chemla"/>
    <w:p>
      <w:pPr>
        <w:pStyle w:val="CaptionedFigure"/>
      </w:pPr>
      <w:bookmarkStart w:id="56" w:name="fig:chemla"/>
      <w:r>
        <w:drawing>
          <wp:inline>
            <wp:extent cx="5943600" cy="6651387"/>
            <wp:effectExtent b="0" l="0" r="0" t="0"/>
            <wp:docPr descr="Figure 9: Vagues corticales Des vagues de propagation détectées sur la surface du cortex semblent avoir un rôle fonctionnel pour représenter des informations visuelles." title=""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5"/>
                    <a:stretch>
                      <a:fillRect/>
                    </a:stretch>
                  </pic:blipFill>
                  <pic:spPr bwMode="auto">
                    <a:xfrm>
                      <a:off x="0" y="0"/>
                      <a:ext cx="5943600" cy="6651387"/>
                    </a:xfrm>
                    <a:prstGeom prst="rect">
                      <a:avLst/>
                    </a:prstGeom>
                    <a:noFill/>
                    <a:ln w="9525">
                      <a:noFill/>
                      <a:headEnd/>
                      <a:tailEnd/>
                    </a:ln>
                  </pic:spPr>
                </pic:pic>
              </a:graphicData>
            </a:graphic>
          </wp:inline>
        </w:drawing>
      </w:r>
      <w:bookmarkEnd w:id="56"/>
    </w:p>
    <w:p>
      <w:pPr>
        <w:pStyle w:val="ImageCaption"/>
      </w:pPr>
      <w:r>
        <w:t xml:space="preserve">Figure 9:</w:t>
      </w:r>
      <w:r>
        <w:t xml:space="preserve"> </w:t>
      </w:r>
      <w:r>
        <w:rPr>
          <w:b/>
        </w:rPr>
        <w:t xml:space="preserve">Vagues corticales</w:t>
      </w:r>
      <w:r>
        <w:t xml:space="preserve"> </w:t>
      </w:r>
      <w:r>
        <w:t xml:space="preserve">Des vagues de propagation détectées sur la surface du cortex semblent avoir un rôle fonctionnel pour représenter des informations visuelles.</w:t>
      </w:r>
    </w:p>
    <w:bookmarkEnd w:id="0"/>
    <w:p>
      <w:pPr>
        <w:pStyle w:val="Heading2"/>
      </w:pPr>
      <w:bookmarkStart w:id="57" w:name="conclusion"/>
      <w:r>
        <w:t xml:space="preserve">Conclusion</w:t>
      </w:r>
      <w:bookmarkEnd w:id="57"/>
    </w:p>
    <w:p>
      <w:pPr>
        <w:pStyle w:val="FirstParagraph"/>
      </w:pPr>
      <w:r>
        <w:t xml:space="preserve">Pour résumer, les illusions et hallucinations nous ouvre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58" w:name="references"/>
      <w:r>
        <w:t xml:space="preserve">References</w:t>
      </w:r>
      <w:bookmarkEnd w:id="58"/>
    </w:p>
    <w:bookmarkStart w:id="92" w:name="refs"/>
    <w:bookmarkStart w:id="62" w:name="ref-QstYfgqz"/>
    <w:p>
      <w:pPr>
        <w:pStyle w:val="Bibliography"/>
      </w:pPr>
      <w:r>
        <w:t xml:space="preserve">1.</w:t>
      </w:r>
      <w:r>
        <w:t xml:space="preserve"> </w:t>
      </w:r>
      <w:r>
        <w:rPr>
          <w:b/>
        </w:rPr>
        <w:t xml:space="preserve">Ultra-rapid object detection with saccadic eye movements: Visual processing speed revisited</w:t>
      </w:r>
      <w:r>
        <w:br w:type="textWrapping"/>
      </w:r>
      <w:r>
        <w:t xml:space="preserve">Holle Kirchner, Simon J. Thorpe</w:t>
      </w:r>
      <w:r>
        <w:br w:type="textWrapping"/>
      </w:r>
      <w:r>
        <w:rPr>
          <w:i/>
        </w:rPr>
        <w:t xml:space="preserve">Vision Research</w:t>
      </w:r>
      <w:r>
        <w:t xml:space="preserve"> </w:t>
      </w:r>
      <w:r>
        <w:t xml:space="preserve">(2006-05)</w:t>
      </w:r>
      <w:r>
        <w:t xml:space="preserve"> </w:t>
      </w:r>
      <w:hyperlink r:id="rId59">
        <w:r>
          <w:rPr>
            <w:rStyle w:val="Hyperlink"/>
          </w:rPr>
          <w:t xml:space="preserve">https://doi.org/d8gpjq</w:t>
        </w:r>
      </w:hyperlink>
      <w:r>
        <w:br w:type="textWrapping"/>
      </w:r>
      <w:r>
        <w:t xml:space="preserve">DOI:</w:t>
      </w:r>
      <w:r>
        <w:t xml:space="preserve"> </w:t>
      </w:r>
      <w:hyperlink r:id="rId60">
        <w:r>
          <w:rPr>
            <w:rStyle w:val="Hyperlink"/>
          </w:rPr>
          <w:t xml:space="preserve">10.1016/j.visres.2005.10.002</w:t>
        </w:r>
      </w:hyperlink>
      <w:r>
        <w:t xml:space="preserve"> </w:t>
      </w:r>
      <w:r>
        <w:t xml:space="preserve">· PMID:</w:t>
      </w:r>
      <w:r>
        <w:t xml:space="preserve"> </w:t>
      </w:r>
      <w:hyperlink r:id="rId61">
        <w:r>
          <w:rPr>
            <w:rStyle w:val="Hyperlink"/>
          </w:rPr>
          <w:t xml:space="preserve">16289663</w:t>
        </w:r>
      </w:hyperlink>
    </w:p>
    <w:bookmarkEnd w:id="62"/>
    <w:bookmarkStart w:id="67" w:name="ref-1BSbXPPDF"/>
    <w:p>
      <w:pPr>
        <w:pStyle w:val="Bibliography"/>
      </w:pPr>
      <w:r>
        <w:t xml:space="preserve">2.</w:t>
      </w:r>
      <w:r>
        <w:t xml:space="preserve"> </w:t>
      </w:r>
      <w:r>
        <w:rPr>
          <w:b/>
        </w:rPr>
        <w:t xml:space="preserve">The Flash-Lag Effect as a Motion-Based Predictive Shift</w:t>
      </w:r>
      <w:r>
        <w:br w:type="textWrapping"/>
      </w:r>
      <w:r>
        <w:t xml:space="preserve">Mina A. Khoei, Guillaume S. Masson, Laurent U. Perrinet</w:t>
      </w:r>
      <w:r>
        <w:br w:type="textWrapping"/>
      </w:r>
      <w:r>
        <w:rPr>
          <w:i/>
        </w:rPr>
        <w:t xml:space="preserve">PLOS Computational Biology</w:t>
      </w:r>
      <w:r>
        <w:t xml:space="preserve"> </w:t>
      </w:r>
      <w:r>
        <w:t xml:space="preserve">(2017-01-26)</w:t>
      </w:r>
      <w:r>
        <w:t xml:space="preserve"> </w:t>
      </w:r>
      <w:hyperlink r:id="rId63">
        <w:r>
          <w:rPr>
            <w:rStyle w:val="Hyperlink"/>
          </w:rPr>
          <w:t xml:space="preserve">https://doi.org/b2t5</w:t>
        </w:r>
      </w:hyperlink>
      <w:r>
        <w:br w:type="textWrapping"/>
      </w:r>
      <w:r>
        <w:t xml:space="preserve">DOI:</w:t>
      </w:r>
      <w:r>
        <w:t xml:space="preserve"> </w:t>
      </w:r>
      <w:hyperlink r:id="rId64">
        <w:r>
          <w:rPr>
            <w:rStyle w:val="Hyperlink"/>
          </w:rPr>
          <w:t xml:space="preserve">10.1371/journal.pcbi.1005068</w:t>
        </w:r>
      </w:hyperlink>
      <w:r>
        <w:t xml:space="preserve"> </w:t>
      </w:r>
      <w:r>
        <w:t xml:space="preserve">· PMID:</w:t>
      </w:r>
      <w:r>
        <w:t xml:space="preserve"> </w:t>
      </w:r>
      <w:hyperlink r:id="rId65">
        <w:r>
          <w:rPr>
            <w:rStyle w:val="Hyperlink"/>
          </w:rPr>
          <w:t xml:space="preserve">28125585</w:t>
        </w:r>
      </w:hyperlink>
      <w:r>
        <w:t xml:space="preserve"> </w:t>
      </w:r>
      <w:r>
        <w:t xml:space="preserve">· PMCID:</w:t>
      </w:r>
      <w:r>
        <w:t xml:space="preserve"> </w:t>
      </w:r>
      <w:hyperlink r:id="rId66">
        <w:r>
          <w:rPr>
            <w:rStyle w:val="Hyperlink"/>
          </w:rPr>
          <w:t xml:space="preserve">PMC5268412</w:t>
        </w:r>
      </w:hyperlink>
    </w:p>
    <w:bookmarkEnd w:id="67"/>
    <w:bookmarkStart w:id="72" w:name="ref-pnsTp4JV"/>
    <w:p>
      <w:pPr>
        <w:pStyle w:val="Bibliography"/>
      </w:pPr>
      <w:r>
        <w:t xml:space="preserve">3.</w:t>
      </w:r>
      <w:r>
        <w:t xml:space="preserve"> </w:t>
      </w:r>
      <w:r>
        <w:rPr>
          <w:b/>
        </w:rPr>
        <w:t xml:space="preserve">Perceptions as Hypotheses: Saccades as Experiments</w:t>
      </w:r>
      <w:r>
        <w:br w:type="textWrapping"/>
      </w:r>
      <w:r>
        <w:t xml:space="preserve">Karl Friston, Rick A. Adams, Laurent Perrinet, Michael Breakspear</w:t>
      </w:r>
      <w:r>
        <w:br w:type="textWrapping"/>
      </w:r>
      <w:r>
        <w:rPr>
          <w:i/>
        </w:rPr>
        <w:t xml:space="preserve">Frontiers in Psychology</w:t>
      </w:r>
      <w:r>
        <w:t xml:space="preserve"> </w:t>
      </w:r>
      <w:r>
        <w:t xml:space="preserve">(2012)</w:t>
      </w:r>
      <w:r>
        <w:t xml:space="preserve"> </w:t>
      </w:r>
      <w:hyperlink r:id="rId68">
        <w:r>
          <w:rPr>
            <w:rStyle w:val="Hyperlink"/>
          </w:rPr>
          <w:t xml:space="preserve">https://doi.org/gdj5wg</w:t>
        </w:r>
      </w:hyperlink>
      <w:r>
        <w:br w:type="textWrapping"/>
      </w:r>
      <w:r>
        <w:t xml:space="preserve">DOI:</w:t>
      </w:r>
      <w:r>
        <w:t xml:space="preserve"> </w:t>
      </w:r>
      <w:hyperlink r:id="rId69">
        <w:r>
          <w:rPr>
            <w:rStyle w:val="Hyperlink"/>
          </w:rPr>
          <w:t xml:space="preserve">10.3389/fpsyg.2012.00151</w:t>
        </w:r>
      </w:hyperlink>
      <w:r>
        <w:t xml:space="preserve"> </w:t>
      </w:r>
      <w:r>
        <w:t xml:space="preserve">· PMID:</w:t>
      </w:r>
      <w:r>
        <w:t xml:space="preserve"> </w:t>
      </w:r>
      <w:hyperlink r:id="rId70">
        <w:r>
          <w:rPr>
            <w:rStyle w:val="Hyperlink"/>
          </w:rPr>
          <w:t xml:space="preserve">22654776</w:t>
        </w:r>
      </w:hyperlink>
      <w:r>
        <w:t xml:space="preserve"> </w:t>
      </w:r>
      <w:r>
        <w:t xml:space="preserve">· PMCID:</w:t>
      </w:r>
      <w:r>
        <w:t xml:space="preserve"> </w:t>
      </w:r>
      <w:hyperlink r:id="rId71">
        <w:r>
          <w:rPr>
            <w:rStyle w:val="Hyperlink"/>
          </w:rPr>
          <w:t xml:space="preserve">PMC3361132</w:t>
        </w:r>
      </w:hyperlink>
    </w:p>
    <w:bookmarkEnd w:id="72"/>
    <w:bookmarkStart w:id="77" w:name="ref-hQTLOkzF"/>
    <w:p>
      <w:pPr>
        <w:pStyle w:val="Bibliography"/>
      </w:pPr>
      <w:r>
        <w:t xml:space="preserve">4.</w:t>
      </w:r>
      <w:r>
        <w:t xml:space="preserve"> </w:t>
      </w:r>
      <w:r>
        <w:rPr>
          <w:b/>
        </w:rPr>
        <w:t xml:space="preserve">Smooth Pursuit and Visual Occlusion: Active Inference and Oculomotor Control in Schizophrenia</w:t>
      </w:r>
      <w:r>
        <w:br w:type="textWrapping"/>
      </w:r>
      <w:r>
        <w:t xml:space="preserve">Rick A. Adams, Laurent U. Perrinet, Karl Friston</w:t>
      </w:r>
      <w:r>
        <w:br w:type="textWrapping"/>
      </w:r>
      <w:r>
        <w:rPr>
          <w:i/>
        </w:rPr>
        <w:t xml:space="preserve">PLoS ONE</w:t>
      </w:r>
      <w:r>
        <w:t xml:space="preserve"> </w:t>
      </w:r>
      <w:r>
        <w:t xml:space="preserve">(2012-10-26)</w:t>
      </w:r>
      <w:r>
        <w:t xml:space="preserve"> </w:t>
      </w:r>
      <w:hyperlink r:id="rId73">
        <w:r>
          <w:rPr>
            <w:rStyle w:val="Hyperlink"/>
          </w:rPr>
          <w:t xml:space="preserve">https://doi.org/f4b2g4</w:t>
        </w:r>
      </w:hyperlink>
      <w:r>
        <w:br w:type="textWrapping"/>
      </w:r>
      <w:r>
        <w:t xml:space="preserve">DOI:</w:t>
      </w:r>
      <w:r>
        <w:t xml:space="preserve"> </w:t>
      </w:r>
      <w:hyperlink r:id="rId74">
        <w:r>
          <w:rPr>
            <w:rStyle w:val="Hyperlink"/>
          </w:rPr>
          <w:t xml:space="preserve">10.1371/journal.pone.0047502</w:t>
        </w:r>
      </w:hyperlink>
      <w:r>
        <w:t xml:space="preserve"> </w:t>
      </w:r>
      <w:r>
        <w:t xml:space="preserve">· PMID:</w:t>
      </w:r>
      <w:r>
        <w:t xml:space="preserve"> </w:t>
      </w:r>
      <w:hyperlink r:id="rId75">
        <w:r>
          <w:rPr>
            <w:rStyle w:val="Hyperlink"/>
          </w:rPr>
          <w:t xml:space="preserve">23110076</w:t>
        </w:r>
      </w:hyperlink>
      <w:r>
        <w:t xml:space="preserve"> </w:t>
      </w:r>
      <w:r>
        <w:t xml:space="preserve">· PMCID:</w:t>
      </w:r>
      <w:r>
        <w:t xml:space="preserve"> </w:t>
      </w:r>
      <w:hyperlink r:id="rId76">
        <w:r>
          <w:rPr>
            <w:rStyle w:val="Hyperlink"/>
          </w:rPr>
          <w:t xml:space="preserve">PMC3482214</w:t>
        </w:r>
      </w:hyperlink>
    </w:p>
    <w:bookmarkEnd w:id="77"/>
    <w:bookmarkStart w:id="82" w:name="ref-1FZ2hkaS5"/>
    <w:p>
      <w:pPr>
        <w:pStyle w:val="Bibliography"/>
      </w:pPr>
      <w:r>
        <w:t xml:space="preserve">5.</w:t>
      </w:r>
      <w:r>
        <w:t xml:space="preserve"> </w:t>
      </w:r>
      <w:r>
        <w:rPr>
          <w:b/>
        </w:rPr>
        <w:t xml:space="preserve">Geometric visual hallucinations, Euclidean symmetry and the functional architecture of striate cortex</w:t>
      </w:r>
      <w:r>
        <w:br w:type="textWrapping"/>
      </w:r>
      <w:r>
        <w:t xml:space="preserve">Paul C. Bressloff, Jack D. Cowan, Martin Golubitsky, Peter J. Thomas, Matthew C. Wiener</w:t>
      </w:r>
      <w:r>
        <w:br w:type="textWrapping"/>
      </w:r>
      <w:r>
        <w:rPr>
          <w:i/>
        </w:rPr>
        <w:t xml:space="preserve">Philosophical Transactions of the Royal Society of London. Series B: Biological Sciences</w:t>
      </w:r>
      <w:r>
        <w:t xml:space="preserve"> </w:t>
      </w:r>
      <w:r>
        <w:t xml:space="preserve">(2001-03-29)</w:t>
      </w:r>
      <w:r>
        <w:t xml:space="preserve"> </w:t>
      </w:r>
      <w:hyperlink r:id="rId78">
        <w:r>
          <w:rPr>
            <w:rStyle w:val="Hyperlink"/>
          </w:rPr>
          <w:t xml:space="preserve">https://doi.org/cm5ct6</w:t>
        </w:r>
      </w:hyperlink>
      <w:r>
        <w:br w:type="textWrapping"/>
      </w:r>
      <w:r>
        <w:t xml:space="preserve">DOI:</w:t>
      </w:r>
      <w:r>
        <w:t xml:space="preserve"> </w:t>
      </w:r>
      <w:hyperlink r:id="rId79">
        <w:r>
          <w:rPr>
            <w:rStyle w:val="Hyperlink"/>
          </w:rPr>
          <w:t xml:space="preserve">10.1098/rstb.2000.0769</w:t>
        </w:r>
      </w:hyperlink>
      <w:r>
        <w:t xml:space="preserve"> </w:t>
      </w:r>
      <w:r>
        <w:t xml:space="preserve">· PMID:</w:t>
      </w:r>
      <w:r>
        <w:t xml:space="preserve"> </w:t>
      </w:r>
      <w:hyperlink r:id="rId80">
        <w:r>
          <w:rPr>
            <w:rStyle w:val="Hyperlink"/>
          </w:rPr>
          <w:t xml:space="preserve">11316482</w:t>
        </w:r>
      </w:hyperlink>
      <w:r>
        <w:t xml:space="preserve"> </w:t>
      </w:r>
      <w:r>
        <w:t xml:space="preserve">· PMCID:</w:t>
      </w:r>
      <w:r>
        <w:t xml:space="preserve"> </w:t>
      </w:r>
      <w:hyperlink r:id="rId81">
        <w:r>
          <w:rPr>
            <w:rStyle w:val="Hyperlink"/>
          </w:rPr>
          <w:t xml:space="preserve">PMC1088430</w:t>
        </w:r>
      </w:hyperlink>
    </w:p>
    <w:bookmarkEnd w:id="82"/>
    <w:bookmarkStart w:id="86" w:name="ref-cAAUyqwj"/>
    <w:p>
      <w:pPr>
        <w:pStyle w:val="Bibliography"/>
      </w:pPr>
      <w:r>
        <w:t xml:space="preserve">6.</w:t>
      </w:r>
      <w:r>
        <w:t xml:space="preserve"> </w:t>
      </w:r>
      <w:r>
        <w:rPr>
          <w:b/>
        </w:rPr>
        <w:t xml:space="preserve">Suppressive traveling waves shape representations of illusory motion in primary visual cortex of awake primate</w:t>
      </w:r>
      <w:r>
        <w:br w:type="textWrapping"/>
      </w:r>
      <w:r>
        <w:t xml:space="preserve">S. Chemla, A. Reynaud, M. di Volo, Y. Zerlaut, L. Perrinet, A. Destexhe, F. Chavane</w:t>
      </w:r>
      <w:r>
        <w:br w:type="textWrapping"/>
      </w:r>
      <w:r>
        <w:rPr>
          <w:i/>
        </w:rPr>
        <w:t xml:space="preserve">The Journal of Neuroscience</w:t>
      </w:r>
      <w:r>
        <w:t xml:space="preserve"> </w:t>
      </w:r>
      <w:r>
        <w:t xml:space="preserve">(2019-03-18)</w:t>
      </w:r>
      <w:r>
        <w:t xml:space="preserve"> </w:t>
      </w:r>
      <w:hyperlink r:id="rId83">
        <w:r>
          <w:rPr>
            <w:rStyle w:val="Hyperlink"/>
          </w:rPr>
          <w:t xml:space="preserve">https://doi.org/gfw8hr</w:t>
        </w:r>
      </w:hyperlink>
      <w:r>
        <w:br w:type="textWrapping"/>
      </w:r>
      <w:r>
        <w:t xml:space="preserve">DOI:</w:t>
      </w:r>
      <w:r>
        <w:t xml:space="preserve"> </w:t>
      </w:r>
      <w:hyperlink r:id="rId84">
        <w:r>
          <w:rPr>
            <w:rStyle w:val="Hyperlink"/>
          </w:rPr>
          <w:t xml:space="preserve">10.1523/jneurosci.2792-18.2019</w:t>
        </w:r>
      </w:hyperlink>
      <w:r>
        <w:t xml:space="preserve"> </w:t>
      </w:r>
      <w:r>
        <w:t xml:space="preserve">· PMID:</w:t>
      </w:r>
      <w:r>
        <w:t xml:space="preserve"> </w:t>
      </w:r>
      <w:hyperlink r:id="rId85">
        <w:r>
          <w:rPr>
            <w:rStyle w:val="Hyperlink"/>
          </w:rPr>
          <w:t xml:space="preserve">30886010</w:t>
        </w:r>
      </w:hyperlink>
    </w:p>
    <w:bookmarkEnd w:id="86"/>
    <w:bookmarkStart w:id="91" w:name="ref-9OxNsfYF"/>
    <w:p>
      <w:pPr>
        <w:pStyle w:val="Bibliography"/>
      </w:pPr>
      <w:r>
        <w:t xml:space="preserve">7.</w:t>
      </w:r>
      <w:r>
        <w:t xml:space="preserve"> </w:t>
      </w:r>
      <w:r>
        <w:rPr>
          <w:b/>
        </w:rPr>
        <w:t xml:space="preserve">Cortical travelling waves: mechanisms and computational principles</w:t>
      </w:r>
      <w:r>
        <w:br w:type="textWrapping"/>
      </w:r>
      <w:r>
        <w:t xml:space="preserve">Lyle Muller, Frédéric Chavane, John Reynolds, Terrence J. Sejnowski</w:t>
      </w:r>
      <w:r>
        <w:br w:type="textWrapping"/>
      </w:r>
      <w:r>
        <w:rPr>
          <w:i/>
        </w:rPr>
        <w:t xml:space="preserve">Nature Reviews Neuroscience</w:t>
      </w:r>
      <w:r>
        <w:t xml:space="preserve"> </w:t>
      </w:r>
      <w:r>
        <w:t xml:space="preserve">(2018-03-22)</w:t>
      </w:r>
      <w:r>
        <w:t xml:space="preserve"> </w:t>
      </w:r>
      <w:hyperlink r:id="rId87">
        <w:r>
          <w:rPr>
            <w:rStyle w:val="Hyperlink"/>
          </w:rPr>
          <w:t xml:space="preserve">https://doi.org/gc7dvn</w:t>
        </w:r>
      </w:hyperlink>
      <w:r>
        <w:br w:type="textWrapping"/>
      </w:r>
      <w:r>
        <w:t xml:space="preserve">DOI:</w:t>
      </w:r>
      <w:r>
        <w:t xml:space="preserve"> </w:t>
      </w:r>
      <w:hyperlink r:id="rId88">
        <w:r>
          <w:rPr>
            <w:rStyle w:val="Hyperlink"/>
          </w:rPr>
          <w:t xml:space="preserve">10.1038/nrn.2018.20</w:t>
        </w:r>
      </w:hyperlink>
      <w:r>
        <w:t xml:space="preserve"> </w:t>
      </w:r>
      <w:r>
        <w:t xml:space="preserve">· PMID:</w:t>
      </w:r>
      <w:r>
        <w:t xml:space="preserve"> </w:t>
      </w:r>
      <w:hyperlink r:id="rId89">
        <w:r>
          <w:rPr>
            <w:rStyle w:val="Hyperlink"/>
          </w:rPr>
          <w:t xml:space="preserve">29563572</w:t>
        </w:r>
      </w:hyperlink>
      <w:r>
        <w:t xml:space="preserve"> </w:t>
      </w:r>
      <w:r>
        <w:t xml:space="preserve">· PMCID:</w:t>
      </w:r>
      <w:r>
        <w:t xml:space="preserve"> </w:t>
      </w:r>
      <w:hyperlink r:id="rId90">
        <w:r>
          <w:rPr>
            <w:rStyle w:val="Hyperlink"/>
          </w:rPr>
          <w:t xml:space="preserve">PMC5933075</w:t>
        </w:r>
      </w:hyperlink>
    </w:p>
    <w:bookmarkEnd w:id="91"/>
    <w:bookmarkEnd w:id="9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9" Target="media/rId39.jpg" /><Relationship Type="http://schemas.openxmlformats.org/officeDocument/2006/relationships/image" Id="rId31" Target="media/rId31.sv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37" Target="media/rId37.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0" Target="http://www.ritsumei.ac.jp/~akitaoka/index-e.html" TargetMode="External" /><Relationship Type="http://schemas.openxmlformats.org/officeDocument/2006/relationships/hyperlink" Id="rId60" Target="https://doi.org/10.1016/j.visres.2005.10.002" TargetMode="External" /><Relationship Type="http://schemas.openxmlformats.org/officeDocument/2006/relationships/hyperlink" Id="rId88" Target="https://doi.org/10.1038/nrn.2018.20" TargetMode="External" /><Relationship Type="http://schemas.openxmlformats.org/officeDocument/2006/relationships/hyperlink" Id="rId79" Target="https://doi.org/10.1098/rstb.2000.0769" TargetMode="External" /><Relationship Type="http://schemas.openxmlformats.org/officeDocument/2006/relationships/hyperlink" Id="rId64" Target="https://doi.org/10.1371/journal.pcbi.1005068" TargetMode="External" /><Relationship Type="http://schemas.openxmlformats.org/officeDocument/2006/relationships/hyperlink" Id="rId74" Target="https://doi.org/10.1371/journal.pone.0047502" TargetMode="External" /><Relationship Type="http://schemas.openxmlformats.org/officeDocument/2006/relationships/hyperlink" Id="rId84" Target="https://doi.org/10.1523/jneurosci.2792-18.2019" TargetMode="External" /><Relationship Type="http://schemas.openxmlformats.org/officeDocument/2006/relationships/hyperlink" Id="rId69" Target="https://doi.org/10.3389/fpsyg.2012.00151" TargetMode="External" /><Relationship Type="http://schemas.openxmlformats.org/officeDocument/2006/relationships/hyperlink" Id="rId63" Target="https://doi.org/b2t5" TargetMode="External" /><Relationship Type="http://schemas.openxmlformats.org/officeDocument/2006/relationships/hyperlink" Id="rId78" Target="https://doi.org/cm5ct6" TargetMode="External" /><Relationship Type="http://schemas.openxmlformats.org/officeDocument/2006/relationships/hyperlink" Id="rId59" Target="https://doi.org/d8gpjq" TargetMode="External" /><Relationship Type="http://schemas.openxmlformats.org/officeDocument/2006/relationships/hyperlink" Id="rId73" Target="https://doi.org/f4b2g4" TargetMode="External" /><Relationship Type="http://schemas.openxmlformats.org/officeDocument/2006/relationships/hyperlink" Id="rId87" Target="https://doi.org/gc7dvn" TargetMode="External" /><Relationship Type="http://schemas.openxmlformats.org/officeDocument/2006/relationships/hyperlink" Id="rId68" Target="https://doi.org/gdj5wg" TargetMode="External" /><Relationship Type="http://schemas.openxmlformats.org/officeDocument/2006/relationships/hyperlink" Id="rId83" Target="https://doi.org/gfw8hr" TargetMode="External" /><Relationship Type="http://schemas.openxmlformats.org/officeDocument/2006/relationships/hyperlink" Id="rId33" Target="https://en.wikipedia.org/wiki/The_dress" TargetMode="External" /><Relationship Type="http://schemas.openxmlformats.org/officeDocument/2006/relationships/hyperlink" Id="rId41" Target="https://fr.wikipedia.org/wiki/Par%C3%A9idolie" TargetMode="External" /><Relationship Type="http://schemas.openxmlformats.org/officeDocument/2006/relationships/hyperlink" Id="rId34" Target="https://fr.wikipedia.org/wiki/S%C3%A9rendipit%C3%A9" TargetMode="External" /><Relationship Type="http://schemas.openxmlformats.org/officeDocument/2006/relationships/hyperlink" Id="rId26" Target="https://github.com/laurentperrinet" TargetMode="External" /><Relationship Type="http://schemas.openxmlformats.org/officeDocument/2006/relationships/hyperlink" Id="rId21" Target="https://github.com/laurentperrinet/2019-05_illusions-visuelles/tree/55dc044b7ac45af4e2797632317cd6fc121194f7" TargetMode="External" /><Relationship Type="http://schemas.openxmlformats.org/officeDocument/2006/relationships/hyperlink" Id="rId20" Target="https://laurentperrinet.github.io/2019-05_illusions-visuelles/v/55dc044b7ac45af4e2797632317cd6fc121194f7/" TargetMode="External" /><Relationship Type="http://schemas.openxmlformats.org/officeDocument/2006/relationships/hyperlink" Id="rId24" Target="https://orcid.org/0000-0002-9536-010X" TargetMode="External" /><Relationship Type="http://schemas.openxmlformats.org/officeDocument/2006/relationships/hyperlink" Id="rId28" Target="https://twitter.com/laurentperrinet" TargetMode="External" /><Relationship Type="http://schemas.openxmlformats.org/officeDocument/2006/relationships/hyperlink" Id="rId81" Target="https://www.ncbi.nlm.nih.gov/pmc/articles/PMC1088430" TargetMode="External" /><Relationship Type="http://schemas.openxmlformats.org/officeDocument/2006/relationships/hyperlink" Id="rId71" Target="https://www.ncbi.nlm.nih.gov/pmc/articles/PMC3361132" TargetMode="External" /><Relationship Type="http://schemas.openxmlformats.org/officeDocument/2006/relationships/hyperlink" Id="rId76" Target="https://www.ncbi.nlm.nih.gov/pmc/articles/PMC3482214" TargetMode="External" /><Relationship Type="http://schemas.openxmlformats.org/officeDocument/2006/relationships/hyperlink" Id="rId66" Target="https://www.ncbi.nlm.nih.gov/pmc/articles/PMC5268412" TargetMode="External" /><Relationship Type="http://schemas.openxmlformats.org/officeDocument/2006/relationships/hyperlink" Id="rId90" Target="https://www.ncbi.nlm.nih.gov/pmc/articles/PMC5933075" TargetMode="External" /><Relationship Type="http://schemas.openxmlformats.org/officeDocument/2006/relationships/hyperlink" Id="rId80" Target="https://www.ncbi.nlm.nih.gov/pubmed/11316482" TargetMode="External" /><Relationship Type="http://schemas.openxmlformats.org/officeDocument/2006/relationships/hyperlink" Id="rId61" Target="https://www.ncbi.nlm.nih.gov/pubmed/16289663" TargetMode="External" /><Relationship Type="http://schemas.openxmlformats.org/officeDocument/2006/relationships/hyperlink" Id="rId70" Target="https://www.ncbi.nlm.nih.gov/pubmed/22654776" TargetMode="External" /><Relationship Type="http://schemas.openxmlformats.org/officeDocument/2006/relationships/hyperlink" Id="rId75" Target="https://www.ncbi.nlm.nih.gov/pubmed/23110076" TargetMode="External" /><Relationship Type="http://schemas.openxmlformats.org/officeDocument/2006/relationships/hyperlink" Id="rId65" Target="https://www.ncbi.nlm.nih.gov/pubmed/28125585" TargetMode="External" /><Relationship Type="http://schemas.openxmlformats.org/officeDocument/2006/relationships/hyperlink" Id="rId89" Target="https://www.ncbi.nlm.nih.gov/pubmed/29563572" TargetMode="External" /><Relationship Type="http://schemas.openxmlformats.org/officeDocument/2006/relationships/hyperlink" Id="rId85"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0" Target="http://www.ritsumei.ac.jp/~akitaoka/index-e.html" TargetMode="External" /><Relationship Type="http://schemas.openxmlformats.org/officeDocument/2006/relationships/hyperlink" Id="rId60" Target="https://doi.org/10.1016/j.visres.2005.10.002" TargetMode="External" /><Relationship Type="http://schemas.openxmlformats.org/officeDocument/2006/relationships/hyperlink" Id="rId88" Target="https://doi.org/10.1038/nrn.2018.20" TargetMode="External" /><Relationship Type="http://schemas.openxmlformats.org/officeDocument/2006/relationships/hyperlink" Id="rId79" Target="https://doi.org/10.1098/rstb.2000.0769" TargetMode="External" /><Relationship Type="http://schemas.openxmlformats.org/officeDocument/2006/relationships/hyperlink" Id="rId64" Target="https://doi.org/10.1371/journal.pcbi.1005068" TargetMode="External" /><Relationship Type="http://schemas.openxmlformats.org/officeDocument/2006/relationships/hyperlink" Id="rId74" Target="https://doi.org/10.1371/journal.pone.0047502" TargetMode="External" /><Relationship Type="http://schemas.openxmlformats.org/officeDocument/2006/relationships/hyperlink" Id="rId84" Target="https://doi.org/10.1523/jneurosci.2792-18.2019" TargetMode="External" /><Relationship Type="http://schemas.openxmlformats.org/officeDocument/2006/relationships/hyperlink" Id="rId69" Target="https://doi.org/10.3389/fpsyg.2012.00151" TargetMode="External" /><Relationship Type="http://schemas.openxmlformats.org/officeDocument/2006/relationships/hyperlink" Id="rId63" Target="https://doi.org/b2t5" TargetMode="External" /><Relationship Type="http://schemas.openxmlformats.org/officeDocument/2006/relationships/hyperlink" Id="rId78" Target="https://doi.org/cm5ct6" TargetMode="External" /><Relationship Type="http://schemas.openxmlformats.org/officeDocument/2006/relationships/hyperlink" Id="rId59" Target="https://doi.org/d8gpjq" TargetMode="External" /><Relationship Type="http://schemas.openxmlformats.org/officeDocument/2006/relationships/hyperlink" Id="rId73" Target="https://doi.org/f4b2g4" TargetMode="External" /><Relationship Type="http://schemas.openxmlformats.org/officeDocument/2006/relationships/hyperlink" Id="rId87" Target="https://doi.org/gc7dvn" TargetMode="External" /><Relationship Type="http://schemas.openxmlformats.org/officeDocument/2006/relationships/hyperlink" Id="rId68" Target="https://doi.org/gdj5wg" TargetMode="External" /><Relationship Type="http://schemas.openxmlformats.org/officeDocument/2006/relationships/hyperlink" Id="rId83" Target="https://doi.org/gfw8hr" TargetMode="External" /><Relationship Type="http://schemas.openxmlformats.org/officeDocument/2006/relationships/hyperlink" Id="rId33" Target="https://en.wikipedia.org/wiki/The_dress" TargetMode="External" /><Relationship Type="http://schemas.openxmlformats.org/officeDocument/2006/relationships/hyperlink" Id="rId41" Target="https://fr.wikipedia.org/wiki/Par%C3%A9idolie" TargetMode="External" /><Relationship Type="http://schemas.openxmlformats.org/officeDocument/2006/relationships/hyperlink" Id="rId34" Target="https://fr.wikipedia.org/wiki/S%C3%A9rendipit%C3%A9" TargetMode="External" /><Relationship Type="http://schemas.openxmlformats.org/officeDocument/2006/relationships/hyperlink" Id="rId26" Target="https://github.com/laurentperrinet" TargetMode="External" /><Relationship Type="http://schemas.openxmlformats.org/officeDocument/2006/relationships/hyperlink" Id="rId21" Target="https://github.com/laurentperrinet/2019-05_illusions-visuelles/tree/55dc044b7ac45af4e2797632317cd6fc121194f7" TargetMode="External" /><Relationship Type="http://schemas.openxmlformats.org/officeDocument/2006/relationships/hyperlink" Id="rId20" Target="https://laurentperrinet.github.io/2019-05_illusions-visuelles/v/55dc044b7ac45af4e2797632317cd6fc121194f7/" TargetMode="External" /><Relationship Type="http://schemas.openxmlformats.org/officeDocument/2006/relationships/hyperlink" Id="rId24" Target="https://orcid.org/0000-0002-9536-010X" TargetMode="External" /><Relationship Type="http://schemas.openxmlformats.org/officeDocument/2006/relationships/hyperlink" Id="rId28" Target="https://twitter.com/laurentperrinet" TargetMode="External" /><Relationship Type="http://schemas.openxmlformats.org/officeDocument/2006/relationships/hyperlink" Id="rId81" Target="https://www.ncbi.nlm.nih.gov/pmc/articles/PMC1088430" TargetMode="External" /><Relationship Type="http://schemas.openxmlformats.org/officeDocument/2006/relationships/hyperlink" Id="rId71" Target="https://www.ncbi.nlm.nih.gov/pmc/articles/PMC3361132" TargetMode="External" /><Relationship Type="http://schemas.openxmlformats.org/officeDocument/2006/relationships/hyperlink" Id="rId76" Target="https://www.ncbi.nlm.nih.gov/pmc/articles/PMC3482214" TargetMode="External" /><Relationship Type="http://schemas.openxmlformats.org/officeDocument/2006/relationships/hyperlink" Id="rId66" Target="https://www.ncbi.nlm.nih.gov/pmc/articles/PMC5268412" TargetMode="External" /><Relationship Type="http://schemas.openxmlformats.org/officeDocument/2006/relationships/hyperlink" Id="rId90" Target="https://www.ncbi.nlm.nih.gov/pmc/articles/PMC5933075" TargetMode="External" /><Relationship Type="http://schemas.openxmlformats.org/officeDocument/2006/relationships/hyperlink" Id="rId80" Target="https://www.ncbi.nlm.nih.gov/pubmed/11316482" TargetMode="External" /><Relationship Type="http://schemas.openxmlformats.org/officeDocument/2006/relationships/hyperlink" Id="rId61" Target="https://www.ncbi.nlm.nih.gov/pubmed/16289663" TargetMode="External" /><Relationship Type="http://schemas.openxmlformats.org/officeDocument/2006/relationships/hyperlink" Id="rId70" Target="https://www.ncbi.nlm.nih.gov/pubmed/22654776" TargetMode="External" /><Relationship Type="http://schemas.openxmlformats.org/officeDocument/2006/relationships/hyperlink" Id="rId75" Target="https://www.ncbi.nlm.nih.gov/pubmed/23110076" TargetMode="External" /><Relationship Type="http://schemas.openxmlformats.org/officeDocument/2006/relationships/hyperlink" Id="rId65" Target="https://www.ncbi.nlm.nih.gov/pubmed/28125585" TargetMode="External" /><Relationship Type="http://schemas.openxmlformats.org/officeDocument/2006/relationships/hyperlink" Id="rId89" Target="https://www.ncbi.nlm.nih.gov/pubmed/29563572" TargetMode="External" /><Relationship Type="http://schemas.openxmlformats.org/officeDocument/2006/relationships/hyperlink" Id="rId85"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XXX</dc:description>
  <dc:language>fr-FR</dc:language>
  <dc:subject>XXX</dc:subject>
  <cp:keywords>Perception visuelle, Illusions visuelles, Hallucinations visuelles, Modélisation neurale</cp:keywords>
  <dcterms:created xsi:type="dcterms:W3CDTF">2019-04-29T14:27:10Z</dcterms:created>
  <dcterms:modified xsi:type="dcterms:W3CDTF">2019-04-29T14:27:10Z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2019-04-29</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vt:lpwstr>
  </property>
  <property fmtid="{D5CDD505-2E9C-101B-9397-08002B2CF9AE}" pid="11" name="website">
    <vt:lpwstr>https://laurentperrinet.github.io/</vt:lpwstr>
  </property>
</Properties>
</file>