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6.svg" ContentType="image/svg+xml"/>
  <Override PartName="/word/media/rId39.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laurentperrinet/2021_theconversation_hasard@3945388</w:t>
        </w:r>
      </w:hyperlink>
      <w:r>
        <w:t xml:space="preserve"> </w:t>
      </w:r>
      <w:r>
        <w:t xml:space="preserve">on April 12,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Heading2"/>
      </w:pPr>
      <w:bookmarkStart w:id="30" w:name="abstract"/>
      <w:r>
        <w:t xml:space="preserve">Abstract</w:t>
      </w:r>
      <w:bookmarkEnd w:id="30"/>
    </w:p>
    <w:p>
      <w:pPr>
        <w:pStyle w:val="FirstParagraph"/>
      </w:pPr>
      <w:r>
        <w:t xml:space="preserve">Dans la pièce de théâtre la plus célèbre de Marivaux</w:t>
      </w:r>
      <w:r>
        <w:t xml:space="preserve"> </w:t>
      </w:r>
      <w:r>
        <w:t xml:space="preserve">“</w:t>
      </w:r>
      <w:hyperlink r:id="rId31">
        <w:r>
          <w:rPr>
            <w:rStyle w:val="Hyperlink"/>
          </w:rPr>
          <w:t xml:space="preserve">Le jeu de l’amour et du hasard</w:t>
        </w:r>
      </w:hyperlink>
      <w:r>
        <w:t xml:space="preserve">”</w:t>
      </w:r>
      <w:r>
        <w:t xml:space="preserve">, on invite le hasard à guider le destin des personnages. De la même façon, on ne peut s’empêcher dans la vie quotidienne d’attribuer à un esprit malin le fait que la tartine tombe du côté de la confiture ou alors que la prise USB n’est pas dans le bon sens que le cable. Est-ce que le hasard est d’une nature différente du reste des processus qui gouvernent les lois de la nature ? Est-ce que le hasard joue un rôle jusque dans le fonctionnement de notre cerveau?</w:t>
      </w:r>
    </w:p>
    <w:p>
      <w:pPr>
        <w:pStyle w:val="Heading1"/>
      </w:pPr>
      <w:bookmarkStart w:id="32" w:name="les-jeux-de-loterie"/>
      <w:r>
        <w:t xml:space="preserve">Les jeux de loterie</w:t>
      </w:r>
      <w:bookmarkEnd w:id="32"/>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les hasard et des mécanismes ancestraux du fonctionnement de notre cerveau. En effet, nous sommes prêts dans une loterie à risquer de perdre un peu pour gagner gagner beaucoup. On sait aussi pertinemment que si il est très rare de gagner on est assuré de perdre à presque tous les coups ! Pourquoi alors nous abandonner à ce plaisir paradoxal ? En théorie, les règles sont préétablies et avec le hasard comme seul arbitre, on peut prédire les gains à long terme. Ainsi, certains jeux sont plus justes que d’autres.</w:t>
      </w:r>
      <w:r>
        <w:t xml:space="preserve"> </w:t>
      </w:r>
      <w:r>
        <w:t xml:space="preserve">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le tirage des boules un jour donné est complètement indépendant de celui qui est fait le jour suivant on peut aussi montrer mathématiquement que de telles séries peuvent bien apparaître mais qu’elle s’explique entièrement par une série de coïncidences. Il est arrivé ainsi qu’une loterie en Roumanie a donné en juillet 20XX une série de sept chiffres consécutifs! C’est extrêmement surprenant, mais d’un autre côté nécessaire car tout les tirages sont possibles, y compris les plus surprenants !</w:t>
      </w:r>
    </w:p>
    <w:p>
      <w:pPr>
        <w:pStyle w:val="BodyText"/>
      </w:pPr>
      <w:r>
        <w:t xml:space="preserve">Ces stratégies de jeu relèvent plus des biais que l’on dit cognitifs. En effet ils révèlent des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Ainsi dans la loterie classique un tirage de cette boule parmi 49 possibles, la probabilité de tir de chacune des boules et d’une sur 49. Paradoxalement on en déduit que l’on peut effectivement tirer une stratégie de gain, une sorte de martingale infaillible. Il suffit en effet simplement de connaître les biais cognitifs et de jouer… l’inverse !</w:t>
      </w:r>
      <w:r>
        <w:t xml:space="preserve"> </w:t>
      </w:r>
      <w:r>
        <w:t xml:space="preserve">Dans le loto par exemple, beaucoup jouent leur date de naissance et on sait donc qu’il vaut mieux jouer un nombre supérieur à 31. Comme on sait que les nombres tombent avec la même fréquence, pour une même fréquence de réussite on aura moins de gagnants et donc on se partagera un gain plus important.</w:t>
      </w:r>
    </w:p>
    <w:bookmarkStart w:id="0" w:name="fig:trames"/>
    <w:p>
      <w:pPr>
        <w:pStyle w:val="CaptionedFigure"/>
      </w:pPr>
      <w:bookmarkStart w:id="34" w:name="fig:trames"/>
      <w:r>
        <w:drawing>
          <wp:inline>
            <wp:extent cx="5943600" cy="3166618"/>
            <wp:effectExtent b="0" l="0" r="0" t="0"/>
            <wp:docPr descr="Figure 1: Notre cerveau crée des formes dans le bruit. Dans cet oeuvre d’Etienne Rey, “Trames”, des points sont générés aléatoirement et reliés suivant une triangulation. Même si le hasard est total, notre oeil interprète les coincidences et regroupements pour y retrouver des structures qui pourraient être interprétées: formes régulières, volumes, alignements."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3"/>
                    <a:stretch>
                      <a:fillRect/>
                    </a:stretch>
                  </pic:blipFill>
                  <pic:spPr bwMode="auto">
                    <a:xfrm>
                      <a:off x="0" y="0"/>
                      <a:ext cx="5943600" cy="3166618"/>
                    </a:xfrm>
                    <a:prstGeom prst="rect">
                      <a:avLst/>
                    </a:prstGeom>
                    <a:noFill/>
                    <a:ln w="9525">
                      <a:noFill/>
                      <a:headEnd/>
                      <a:tailEnd/>
                    </a:ln>
                  </pic:spPr>
                </pic:pic>
              </a:graphicData>
            </a:graphic>
          </wp:inline>
        </w:drawing>
      </w:r>
      <w:bookmarkEnd w:id="34"/>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suivant une triangulation. Même si le hasard est total, notre oeil interprète les coincidences et regroupements pour y retrouver des structures qui pourraient être interprétées: formes régulières, volumes, alignements.</w:t>
      </w:r>
    </w:p>
    <w:bookmarkEnd w:id="0"/>
    <w:p>
      <w:pPr>
        <w:pStyle w:val="BodyText"/>
      </w:pPr>
      <w:r>
        <w:t xml:space="preserve">Ainsi, comme le définissait le mathématicien Henri Poincaré</w:t>
      </w:r>
      <w:r>
        <w:t xml:space="preserve"> </w:t>
      </w:r>
      <w:r>
        <w:t xml:space="preserve">“</w:t>
      </w:r>
      <w:r>
        <w:t xml:space="preserve">le hasard n’est que la mesure de notre ignorance</w:t>
      </w:r>
      <w:r>
        <w:t xml:space="preserve">”</w:t>
      </w:r>
      <w:r>
        <w:t xml:space="preserve"> </w:t>
      </w:r>
      <w:r>
        <w:t xml:space="preserve">pour signifier que l’on peut le quantifier par exemple par des fréquences d’occurence. Le cerveau joue le rôle d’un statisticien qui avec ses propres règles prends des décisions pour le meilleur pour le pire. Nous avons ici montré qu’on peut exploiter cette forme d’ignorance pour maximiser son gain. Cette stratégie montre ainsi le rôle potentiel de l’information au cours de l’évolution car c’est toujours le plus informé qui gagne.</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de occurrences d’événement. Ainsi, on peut établir que le tirage d’une boule a une chance sur 49 d’arriver. Depuis le calcul de ses propriétés on va ainsi pouvoir étendre notre connaissance du hasard en établissant des croyances sur les paris futurs. On peut par exemple dire qu’il y a une croyance de 18/49 que la boule tombe sur un chiffre supérieur à 31. Ce genre de paris peut être étendu à des situations qui dépasse le cadre de simple jeu de hasard et qui s’applique à la complexité de la vie réelle. Notamment quand le tirage ne sont pas indépendants mais change en fonction du contexte.</w:t>
      </w:r>
    </w:p>
    <w:p>
      <w:pPr>
        <w:pStyle w:val="BodyText"/>
      </w:pPr>
      <w:r>
        <w:t xml:space="preserve">Comment adaptons-nous notre comportement quand le monde autour de nous change ? La situation sanitaire en cette année 2020 montre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Cependant,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w:t>
      </w:r>
      <w:r>
        <w:t xml:space="preserve"> </w:t>
      </w:r>
      <w:r>
        <w:t xml:space="preserve">[</w:t>
      </w:r>
      <w:hyperlink w:anchor="ref-yVKKTMvf">
        <w:r>
          <w:rPr>
            <w:rStyle w:val="Hyperlink"/>
          </w:rPr>
          <w:t xml:space="preserve">1</w:t>
        </w:r>
      </w:hyperlink>
      <w:r>
        <w:t xml:space="preserve">]</w:t>
      </w:r>
      <w:r>
        <w:t xml:space="preserve">. Pour cela, nous avons manipulé au cours du temps le biais de probabilité de la direction du mouvement d’une cible visuelle sur un écran. En introduisant des bascules dans les biais de probabilités, cette expérience manipule la volatilité de l’environnement de façon quantifiée et contrôlée. Les résultats théoriques et expérimentaux prouvent que dans cette situation réaliste où le contexte change à des moments aléatoires tout au long de l’expérience, le système nerveux peut s’adapter à la volatilité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les mouvements oculaires d’anticipation, mais aussi à un niveau cognitif plus élevé, par une évaluation explicite de la direction au prochain essai.</w:t>
      </w:r>
    </w:p>
    <w:p>
      <w:pPr>
        <w:pStyle w:val="BodyText"/>
      </w:pPr>
      <w:r>
        <w:t xml:space="preserve">Ces expériences suggèrent que les humains (et de futurs systèmes artificiels) peuvent utiliser des stratégies d’adaptation beaucoup plus riches qu’on ne le supposait auparavant. Elles permettent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w:t>
      </w:r>
    </w:p>
    <w:bookmarkEnd w:id="0"/>
    <w:p>
      <w:pPr>
        <w:pStyle w:val="BodyText"/>
      </w:pPr>
      <w:r>
        <w:t xml:space="preserve">L’étude de différentes stratégies qui sont révélées par par ce genre de comportements d’exploitation et d’exploration peuvent être un révélateur significatif de pathologie neuronales. En effet, la population humaine révèle une grande diversité des profils cognitif et il est ardue de définir un standard Neuro typique. En faisant ainsi un lien entre cerveau et hasard, nous pouvons maintenant exploiter cette connaissance fondamentale pour mieux comprendre cette diversité. Dans tout le spectre du répertoire des comportements humains les comportements schizophrénes se manifestent en particulier par des délusions et une certaine impulsivité. Ce comportements est illustré par une expérience simple. Prenant une urne opaque qui contient 100 billes bleu et rouge dans une proportion non équilibrée par exemple 90 rouges et 10 bleus ou 10 rouges et 90 plus. Le but du jeu est de tirer une conclusion pour savoir quelle est la couleur majoritaire en prélevant le moins de billes possible. On observe que face a ce problème dans lequel le hasard de tirage joue le rôle principal, les comportements schizophrènes donnent en moyenne une conclusion avant la population moyenne. Ce résultat suggère donc que ces patients ont plus tendance à croire à leurs propres hypothèses par rapport à des contrôles. Un comportement opposé semblait être enjeu dans le spectre autistiques suggérant des mécanismes similaires mais antagonistes, c’est-à-dire de signes différents. Ainsi il se trouve que le traitement du hasard est contrôlé par l’anatomie fine du cerveau et du réseau de neurones qui le définit. Tout est affaire d’équilibre!</w:t>
      </w:r>
    </w:p>
    <w:p>
      <w:pPr>
        <w:pStyle w:val="Heading1"/>
      </w:pPr>
      <w:bookmarkStart w:id="38" w:name="un-processus-dynamique"/>
      <w:r>
        <w:t xml:space="preserve">Un processus dynamique</w:t>
      </w:r>
      <w:bookmarkEnd w:id="38"/>
    </w:p>
    <w:p>
      <w:pPr>
        <w:pStyle w:val="FirstParagraph"/>
      </w:pPr>
      <w:r>
        <w:t xml:space="preserve">Bien plus que de simples statistiques sur des fréquences d’occurrence d’événements, le cerveau semble manipuler des croyances complexes sur son environnement présent et futur. Mais en pratique les mécanismes qui sont en jeu sont encore mal connus et bien éloignés de l’analogie que l’on a pu faire entre intelligence et automates ou robots, ou encore plus récemment avec les ordinateurs et ce que l’on appelle l’intelligence artificielle.</w:t>
      </w:r>
    </w:p>
    <w:p>
      <w:pPr>
        <w:pStyle w:val="BodyText"/>
      </w:pPr>
      <w:r>
        <w:t xml:space="preserve">En effet un ordinateur est par construction déterministe et il n’y a pas de place pour le hasard. D’un coté, les découvertes scientifiques peuvent être dûes au hasard ce qu’on appelle la sérendipité et de l’autre on attribue au hasard une personnalité. On jure contre ce qui a fait que la tartine tombe du côté de la confiture ou que la prise USB est systématiquement dans le mauvais sens. Une contribution d’Antoine Augustin Cournot et d’avoir démystifié cette origine du hasard. Économiste, ils étudiait à la fin du XIXe siècle des processus d’établissement de monopoles économique. S’interrogeant sur les aléas qui perturbent les courbes économétriques qu’ils étudiait, il fit cette proposition simple. Le hasard n’est pas un processus autonome, mais il émerge de processus bien déterministes mais qui interagissent indépendamment. Dans cette vision, le hasard n’existe pas mais c’est l’ignorance sur l’origine des sources qui crée le hasard, résonnant ainsi de façon singulière avec la définition de Henri Poincaré. Une branche entière des mathématiques étudie ces probabilités et permettent de construire des algorithmes qui étendent les algorithmes classiques d’intelligence artificielle en incluant cette mesure de la précision des croyances aux différents niveaux du traitement de l’information. Est-ce que ce genre de théorie est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parallèles. En contraste avec ces expériences fondatrices, nous avons synthétisé des stimulations visuelles dans laquelle nous manipulions explicitement la précision de cette orientation. Ainsi nous ajoutons une nouvelle dimension qui représente le fait qu’un objet visuel peut être plus ou moins orienté.</w:t>
      </w:r>
    </w:p>
    <w:bookmarkStart w:id="0" w:name="fig:obv1"/>
    <w:p>
      <w:pPr>
        <w:pStyle w:val="CaptionedFigure"/>
      </w:pPr>
      <w:bookmarkStart w:id="40" w:name="fig:obv1"/>
      <w:r>
        <w:drawing>
          <wp:inline>
            <wp:extent cx="3901440" cy="2776728"/>
            <wp:effectExtent b="0" l="0" r="0" t="0"/>
            <wp:docPr descr="Figure 3: Orientation et sa précision dans une image naturelle. Différentes zones de cette image naturelle (© Hugo Ladret) peuvent correspondre à différentes orientations préférées, comme indiqué dans les histogrammes regroupant les pourcentage d’énergie pour différents angles en fonction des diffeérentes zones. Une autre caractéristique importante et la précision de cette information qui est soit large pour des textures (la terre, le feuillage) ou plus précise (les reflets dans l’eau). On peut reproduire cette richesse en utilisant des images synthétique de textures avec une précision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39"/>
                    <a:stretch>
                      <a:fillRect/>
                    </a:stretch>
                  </pic:blipFill>
                  <pic:spPr bwMode="auto">
                    <a:xfrm>
                      <a:off x="0" y="0"/>
                      <a:ext cx="3901440" cy="2776728"/>
                    </a:xfrm>
                    <a:prstGeom prst="rect">
                      <a:avLst/>
                    </a:prstGeom>
                    <a:noFill/>
                    <a:ln w="9525">
                      <a:noFill/>
                      <a:headEnd/>
                      <a:tailEnd/>
                    </a:ln>
                  </pic:spPr>
                </pic:pic>
              </a:graphicData>
            </a:graphic>
          </wp:inline>
        </w:drawing>
      </w:r>
      <w:bookmarkEnd w:id="40"/>
    </w:p>
    <w:p>
      <w:pPr>
        <w:pStyle w:val="ImageCaption"/>
      </w:pPr>
      <w:r>
        <w:t xml:space="preserve">Figure 3:</w:t>
      </w:r>
      <w:r>
        <w:t xml:space="preserve"> </w:t>
      </w:r>
      <w:r>
        <w:rPr>
          <w:b/>
        </w:rPr>
        <w:t xml:space="preserve">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les pourcentage d’énergie pour différents angles en fonction des diffeérentes zones. Une autre caractéristique importante et la précision de cette information qui est soit large pour des textures (la terre, le feuillage) ou plus précise (les reflets dans l’eau). On peut reproduire cette richesse en utilisant des images synthétique de textures avec une précision fine (à gauche) ou large (à droite).</w:t>
      </w:r>
    </w:p>
    <w:bookmarkEnd w:id="0"/>
    <w:p>
      <w:pPr>
        <w:pStyle w:val="BodyText"/>
      </w:pPr>
      <w:r>
        <w:t xml:space="preserve">Cette nouvelle dimension permet de distinguer ce qui est dessiné par le contour net d’un objet visuel par rapport à la texture d’un objet pour laquelle la précision est plus large. Nos expériences ont révélé que si on réplique les expériences classiques, on montre que l’on a bien affaire à une représentation de l’orientation dans le cortex visuel primaire, mais on observe aussi une représentation de la précision.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logiquement intégrées avec des poids qui sont proportionnel à la précision des éléments de l’image. De nouvelles expériences sont nécessaires pour mieux comprendre ces mécanismes et notamment pour savoir comment nous arrivons à les intégrer dynamique dans le flux incessant d’informations auxquelles notre système sensoriel est confronté.</w:t>
      </w:r>
    </w:p>
    <w:p>
      <w:pPr>
        <w:pStyle w:val="Heading1"/>
      </w:pPr>
      <w:bookmarkStart w:id="41" w:name="de-lutilité-du-hasard"/>
      <w:r>
        <w:t xml:space="preserve">De l’utilité du hasard</w:t>
      </w:r>
      <w:bookmarkEnd w:id="41"/>
    </w:p>
    <w:p>
      <w:pPr>
        <w:pStyle w:val="FirstParagraph"/>
      </w:pPr>
      <w:r>
        <w:t xml:space="preserve">Pour conclure, nous avons invoqué le hasard pour mieux prendre le cerveau. Même si on peut en déduire que le hasard n’existe pas comme un processus physique dans la Nature, il est une notion essentielle pour donner du sens à des mécanismes complexes qui ont lieu dans le cerveau. Ainsi, il donne des poids différents à différentes croyances et semble être une composante essentielle de l’intégration de ces</w:t>
      </w:r>
      <w:r>
        <w:t xml:space="preserve"> </w:t>
      </w:r>
      <w:r>
        <w:t xml:space="preserve">“</w:t>
      </w:r>
      <w:r>
        <w:t xml:space="preserve">bits</w:t>
      </w:r>
      <w:r>
        <w:t xml:space="preserve">”</w:t>
      </w:r>
      <w:r>
        <w:t xml:space="preserve"> </w:t>
      </w:r>
      <w:r>
        <w:t xml:space="preserve">d’information dans notre cerveau. Il sera essentiel de rajouter ces connaissances neuro-scientifiques aux futurs algorithmes d’intelligence artificiels. En echo à la comédie de Marivaux, espérons que le hasard permettra d’allier biologie et informatique pour mieux comprendre l’intelligence.</w:t>
      </w:r>
    </w:p>
    <w:p>
      <w:pPr>
        <w:pStyle w:val="Heading2"/>
      </w:pPr>
      <w:bookmarkStart w:id="42" w:name="references"/>
      <w:r>
        <w:t xml:space="preserve">References</w:t>
      </w:r>
      <w:bookmarkEnd w:id="42"/>
    </w:p>
    <w:bookmarkStart w:id="51" w:name="refs"/>
    <w:bookmarkStart w:id="47"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3">
        <w:r>
          <w:rPr>
            <w:rStyle w:val="Hyperlink"/>
          </w:rPr>
          <w:t xml:space="preserve">https://doi.org/gjpqzz</w:t>
        </w:r>
      </w:hyperlink>
      <w:r>
        <w:t xml:space="preserve"> </w:t>
      </w:r>
      <w:r>
        <w:br/>
      </w:r>
      <w:r>
        <w:t xml:space="preserve">DOI:</w:t>
      </w:r>
      <w:r>
        <w:t xml:space="preserve"> </w:t>
      </w:r>
      <w:hyperlink r:id="rId44">
        <w:r>
          <w:rPr>
            <w:rStyle w:val="Hyperlink"/>
          </w:rPr>
          <w:t xml:space="preserve">10.1371/journal.pcbi.1007438</w:t>
        </w:r>
      </w:hyperlink>
      <w:r>
        <w:t xml:space="preserve"> </w:t>
      </w:r>
      <w:r>
        <w:t xml:space="preserve">· PMID:</w:t>
      </w:r>
      <w:r>
        <w:t xml:space="preserve"> </w:t>
      </w:r>
      <w:hyperlink r:id="rId45">
        <w:r>
          <w:rPr>
            <w:rStyle w:val="Hyperlink"/>
          </w:rPr>
          <w:t xml:space="preserve">32282790</w:t>
        </w:r>
      </w:hyperlink>
      <w:r>
        <w:t xml:space="preserve"> </w:t>
      </w:r>
      <w:r>
        <w:t xml:space="preserve">· PMCID:</w:t>
      </w:r>
      <w:r>
        <w:t xml:space="preserve"> </w:t>
      </w:r>
      <w:hyperlink r:id="rId46">
        <w:r>
          <w:rPr>
            <w:rStyle w:val="Hyperlink"/>
          </w:rPr>
          <w:t xml:space="preserve">PMC7179935</w:t>
        </w:r>
      </w:hyperlink>
    </w:p>
    <w:bookmarkEnd w:id="47"/>
    <w:bookmarkStart w:id="50"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(2021-03-30)</w:t>
      </w:r>
      <w:r>
        <w:t xml:space="preserve"> </w:t>
      </w:r>
      <w:hyperlink r:id="rId48">
        <w:r>
          <w:rPr>
            <w:rStyle w:val="Hyperlink"/>
          </w:rPr>
          <w:t xml:space="preserve">https://doi.org/gjpqzx</w:t>
        </w:r>
      </w:hyperlink>
      <w:r>
        <w:t xml:space="preserve"> </w:t>
      </w:r>
      <w:r>
        <w:br/>
      </w:r>
      <w:r>
        <w:t xml:space="preserve">DOI:</w:t>
      </w:r>
      <w:r>
        <w:t xml:space="preserve"> </w:t>
      </w:r>
      <w:hyperlink r:id="rId49">
        <w:r>
          <w:rPr>
            <w:rStyle w:val="Hyperlink"/>
          </w:rPr>
          <w:t xml:space="preserve">10.1101/2021.03.30.437692</w:t>
        </w:r>
      </w:hyperlink>
    </w:p>
    <w:bookmarkEnd w:id="50"/>
    <w:bookmarkEnd w:id="5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6" Target="media/rId36.svg" /><Relationship Type="http://schemas.openxmlformats.org/officeDocument/2006/relationships/image" Id="rId39" Target="media/rId39.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49" Target="https://doi.org/10.1101/2021.03.30.437692" TargetMode="External" /><Relationship Type="http://schemas.openxmlformats.org/officeDocument/2006/relationships/hyperlink" Id="rId44" Target="https://doi.org/10.1371/journal.pcbi.1007438" TargetMode="External" /><Relationship Type="http://schemas.openxmlformats.org/officeDocument/2006/relationships/hyperlink" Id="rId48" Target="https://doi.org/gjpqzx" TargetMode="External" /><Relationship Type="http://schemas.openxmlformats.org/officeDocument/2006/relationships/hyperlink" Id="rId43" Target="https://doi.org/gjpqzz" TargetMode="External" /><Relationship Type="http://schemas.openxmlformats.org/officeDocument/2006/relationships/hyperlink" Id="rId31"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3945388d6f53043f741a07c4048ea7b997cef5f1"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3945388d6f53043f741a07c4048ea7b997cef5f1/"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46" Target="https://www.ncbi.nlm.nih.gov/pmc/articles/PMC7179935" TargetMode="External" /><Relationship Type="http://schemas.openxmlformats.org/officeDocument/2006/relationships/hyperlink" Id="rId45"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49" Target="https://doi.org/10.1101/2021.03.30.437692" TargetMode="External" /><Relationship Type="http://schemas.openxmlformats.org/officeDocument/2006/relationships/hyperlink" Id="rId44" Target="https://doi.org/10.1371/journal.pcbi.1007438" TargetMode="External" /><Relationship Type="http://schemas.openxmlformats.org/officeDocument/2006/relationships/hyperlink" Id="rId48" Target="https://doi.org/gjpqzx" TargetMode="External" /><Relationship Type="http://schemas.openxmlformats.org/officeDocument/2006/relationships/hyperlink" Id="rId43" Target="https://doi.org/gjpqzz" TargetMode="External" /><Relationship Type="http://schemas.openxmlformats.org/officeDocument/2006/relationships/hyperlink" Id="rId31"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3945388d6f53043f741a07c4048ea7b997cef5f1"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3945388d6f53043f741a07c4048ea7b997cef5f1/"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46" Target="https://www.ncbi.nlm.nih.gov/pmc/articles/PMC7179935" TargetMode="External" /><Relationship Type="http://schemas.openxmlformats.org/officeDocument/2006/relationships/hyperlink" Id="rId45"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2021-04-12T14:27:40Z</dcterms:created>
  <dcterms:modified xsi:type="dcterms:W3CDTF">2021-04-12T14:27:40Z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