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0.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laurentperrinet/2021_theconversation_hasard@fcc57c0</w:t>
        </w:r>
      </w:hyperlink>
      <w:r>
        <w:t xml:space="preserve"> </w:t>
      </w:r>
      <w:r>
        <w:t xml:space="preserve">on April 13,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en jouant à inverser le rôle des personnages, on invite le hasard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cable USB soit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paris sportifs, jeux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En effet, si nous sommes prêts dans une loterie à risquer de perdre un peu d’argent pour en gagner gagner beaucoup, on sait pertinemment que si il est très rare de gagner on est assuré de perdre à presque tous les coups ! Pourquoi alors nous abandonner à ce plaisir paradoxal ? En théorie, les règles sont préétablies et avec le hasard comme seul arbitre, on peut prédire les gains à long terme et certains jeux sont plus justes que d’autres.</w:t>
      </w:r>
      <w:r>
        <w:t xml:space="preserve"> </w:t>
      </w:r>
      <w:r>
        <w:t xml:space="preserve">On trouve parfois au détour d’un journal une rubrique qui conseille sur des stratégies à adopter pour maximiser ses chances de gagner. Les stratégies varient mais on peut donner quelques exemples. Pour la loterie nationale par exemple on peut trouver des guides qui répertorient les derniers numéros sortis du mois. On conseille alors par exemple de jouer à nouveau un numéro qui vient d’être tiré plusieurs fois. En suivant une</w:t>
      </w:r>
      <w:r>
        <w:t xml:space="preserve"> </w:t>
      </w:r>
      <w:r>
        <w:t xml:space="preserve">“</w:t>
      </w:r>
      <w:r>
        <w:t xml:space="preserve">loi des séries</w:t>
      </w:r>
      <w:r>
        <w:t xml:space="preserve">”</w:t>
      </w:r>
      <w:r>
        <w:t xml:space="preserve"> </w:t>
      </w:r>
      <w:r>
        <w:t xml:space="preserve">ce serait le signe que ces numéros sont plus</w:t>
      </w:r>
      <w:r>
        <w:t xml:space="preserve"> </w:t>
      </w:r>
      <w:r>
        <w:t xml:space="preserve">“</w:t>
      </w:r>
      <w:r>
        <w:t xml:space="preserve">actifs</w:t>
      </w:r>
      <w:r>
        <w:t xml:space="preserve">”</w:t>
      </w:r>
      <w:r>
        <w:t xml:space="preserve"> </w:t>
      </w:r>
      <w:r>
        <w:t xml:space="preserve">et donc doivent être joués de préférence.</w:t>
      </w:r>
    </w:p>
    <w:p>
      <w:pPr>
        <w:pStyle w:val="BodyText"/>
      </w:pPr>
      <w:r>
        <w:t xml:space="preserve">Avec un minimum de recul, on peut se rendre compte que ces stratégies n’ont aucun fondement. Pour cet exemple particulier, tout est mis en oeuvre à la loterie nationale pour que le tirage des boules un jour donné soit complètement indépendant de celui qui est fait le jour suivant. On peut aussi montrer mathématiquement que de telles séries peuvent bien apparaître et qu’elles s’expliquent entièrement par une série de coïncidences. Il est arrivé qu’une loterie bulgare donne le même tirage deux jours consécutifs ou plus récemment qu’une loterie en Afrique du Sud donne la série des nombres consécutifs 5, 6, 7, 8 et 9! C’est extrêmement rare, mais d’un autre côté nécessaire car tous les tirages sont possibles, y compris les plus surprenants. Le fait qu’on les trouve surprenant révèle un biais cognitif sur notre perception du hasard, trace de croyances souvent inconscientes et qui ne correspondent pas forcément aux mécanismes mathématiques qui régissent loteries et autres</w:t>
      </w:r>
      <w:r>
        <w:t xml:space="preserve"> </w:t>
      </w:r>
      <w:r>
        <w:t xml:space="preserve">“</w:t>
      </w:r>
      <w:r>
        <w:t xml:space="preserve">bandits manchots</w:t>
      </w:r>
      <w:r>
        <w:t xml:space="preserve">”</w:t>
      </w:r>
      <w:r>
        <w:t xml:space="preserve">. Paradoxalement on en déduit que l’on peut effectivement tirer une stratégie de gain, une sorte de martingale infaillible. Il suffit en effet simplement de connaître ces biais cognitifs et de jouer… l’inverse !</w:t>
      </w:r>
      <w:r>
        <w:t xml:space="preserve"> </w:t>
      </w:r>
      <w:r>
        <w:t xml:space="preserve">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ce biais cognitif ne les joueront pas: Par conséquent, on aura moins de gagnants et en suivant notre stratégie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oeuvre d’Etienne Rey, “Trames”, des points sont générés aléatoirement et reliés par triangulation, c’est-à-dire de telle façon que les segments reliant les points ne se croisent pas. Notre oeil interprète les coincidences et regroupements pour y retrouver des structures qui pourraient être interprétées: formes régulières, volumes, alignements - même si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oeuvre d’Etienne Rey,</w:t>
      </w:r>
      <w:r>
        <w:t xml:space="preserve"> </w:t>
      </w:r>
      <w:r>
        <w:t xml:space="preserve">“</w:t>
      </w:r>
      <w:r>
        <w:t xml:space="preserve">Trames</w:t>
      </w:r>
      <w:r>
        <w:t xml:space="preserve">”</w:t>
      </w:r>
      <w:r>
        <w:t xml:space="preserve">, des points sont générés aléatoirement et reliés par triangulation, c’est-à-dire de telle façon que les segments reliant les points ne se croisent pas. Notre oeil interprète les coincidences et regroupements pour y retrouver des structures qui pourraient être interprétées: formes régulières, volumes, alignements - même si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le hasard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 plus de chance de gagner - une telle pression a donc sûrement opéré au cours de l’évolution pour sélectionner les meilleures stratégies d’intégration des informations tirées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d’occurrences d’événements. Ainsi, on peut observer à partir d’un grand nombre d’observations que le tirage d’une boule a bien une chance sur 49 d’arriver.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un standard neuro-typique monolithique.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possible.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un-processus-dynamique"/>
      <w:r>
        <w:t xml:space="preserve">Un processus dynamique</w:t>
      </w:r>
      <w:bookmarkEnd w:id="38"/>
    </w:p>
    <w:p>
      <w:pPr>
        <w:pStyle w:val="FirstParagraph"/>
      </w:pPr>
      <w:r>
        <w:t xml:space="preserve">Bien plus que de simples statistiques sur des fréquences d’occurrence d’événements, le cerveau semble donc manipuler des croyances complexes sur son environnement présent et futur. Mais en pratique, les mécanismes qui sont en jeu sont encore mal connus et bien éloignés de l’analogie que l’on a pu faire entre intelligence et automates ou robots, ou encore plus récemment avec les ordinateurs et ce que l’on appelle l’intelligence artificielle.</w:t>
      </w:r>
    </w:p>
    <w:p>
      <w:pPr>
        <w:pStyle w:val="BodyText"/>
      </w:pPr>
      <w:r>
        <w:t xml:space="preserve">D’un coté, un ordinateur est par construction déterministe et il n’y a pas de place pour le hasard. De l’autre, on a vu que notre cerveau utilise le hasard, de telle sorte que des découvertes scientifiques peuvent être dûes au hasard - ce qu’on appelle la sérendipité. On va jusqu’à attribuer au hasard une personnalité: On jure contre ce qui a fait que la tartine tombe du côté de la confiture ou que cette maudite fiche du cable USB soit systématiquement dans le sens inverse. Une contribution d’</w:t>
      </w:r>
      <w:hyperlink r:id="rId39">
        <w:r>
          <w:rPr>
            <w:rStyle w:val="Hyperlink"/>
          </w:rPr>
          <w:t xml:space="preserve">Antoine-Augustin Cournot</w:t>
        </w:r>
      </w:hyperlink>
      <w:r>
        <w:t xml:space="preserve"> </w:t>
      </w:r>
      <w:r>
        <w:t xml:space="preserve">et d’avoir démystifié cette origine du hasard. Économiste, ils étudiait durant le XIXe siècle des processus d’établissement de monopoles économique. S’interrogeant sur les aléas qui perturbent les données qu’ils étudiait, il fit cette proposition simple. Le hasard n’est pas un processus autonome, il émerge de processus bien déterministes mais qui interagissent indépendamment. Dans cette vision, le hasard n’existe pas mais c’est l’ignorance sur l’origine des sources qui crée le hasard, résonnant ainsi de façon singulière avec la définition donnée par Henri Poincaré. Une branche entière des mathématiques étudie la théorie des probabilités et permet en particulier d’affiner les algorithmes classiques d’intelligence artificielle en intégrant cette mesure de la précision des croyances aux différents niveaux du traitement de l’information. Est-ce qu’une telle théorie pourrait être à l’œuvre dans le cerveau ?</w:t>
      </w:r>
    </w:p>
    <w:p>
      <w:pPr>
        <w:pStyle w:val="BodyText"/>
      </w:pPr>
      <w:r>
        <w:t xml:space="preserve">Récemment, et nous avons pu directement interroger cette hypothèse dans des expériences de neurophysiologie</w:t>
      </w:r>
      <w:r>
        <w:t xml:space="preserve"> </w:t>
      </w:r>
      <w:r>
        <w:t xml:space="preserve">[</w:t>
      </w:r>
      <w:hyperlink w:anchor="ref-16isfQxug">
        <w:r>
          <w:rPr>
            <w:rStyle w:val="Hyperlink"/>
          </w:rPr>
          <w:t xml:space="preserve">2</w:t>
        </w:r>
      </w:hyperlink>
      <w:r>
        <w:t xml:space="preserve">]</w:t>
      </w:r>
      <w:r>
        <w:t xml:space="preserve">. Nous nous sommes concentrés sur le cortex visuel primaire qui représente préférentiellement des orientations dans les images visuelles, comme il a été mis en évidence en montrant des réseaux réguliers de lignes géométriques parallèles</w:t>
      </w:r>
      <w:r>
        <w:t xml:space="preserve"> </w:t>
      </w:r>
      <w:r>
        <w:t xml:space="preserve">[</w:t>
      </w:r>
      <w:hyperlink w:anchor="ref-9M7pkQ8A">
        <w:r>
          <w:rPr>
            <w:rStyle w:val="Hyperlink"/>
          </w:rPr>
          <w:t xml:space="preserve">3</w:t>
        </w:r>
      </w:hyperlink>
      <w:r>
        <w:t xml:space="preserve">]</w:t>
      </w:r>
      <w:r>
        <w:t xml:space="preserve">. En complément de ces expériences fondatrices,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w:t>
      </w:r>
    </w:p>
    <w:bookmarkStart w:id="0" w:name="fig:obv1"/>
    <w:p>
      <w:pPr>
        <w:pStyle w:val="CaptionedFigure"/>
      </w:pPr>
      <w:bookmarkStart w:id="41"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s pourcentage d’occurence des différents angles détectés dans les différentes zones.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0"/>
                    <a:stretch>
                      <a:fillRect/>
                    </a:stretch>
                  </pic:blipFill>
                  <pic:spPr bwMode="auto">
                    <a:xfrm>
                      <a:off x="0" y="0"/>
                      <a:ext cx="3901440" cy="2776728"/>
                    </a:xfrm>
                    <a:prstGeom prst="rect">
                      <a:avLst/>
                    </a:prstGeom>
                    <a:noFill/>
                    <a:ln w="9525">
                      <a:noFill/>
                      <a:headEnd/>
                      <a:tailEnd/>
                    </a:ln>
                  </pic:spPr>
                </pic:pic>
              </a:graphicData>
            </a:graphic>
          </wp:inline>
        </w:drawing>
      </w:r>
      <w:bookmarkEnd w:id="41"/>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les pourcentage d’occurence des différents angles détectés dans les différentes zones.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par rapport à la texture d’un objet pour laquelle la précision est plus large. Nos expériences ont révélé que si on réplique bien les expériences classiques et que l’on a bien affaire à une représentation de l’orientation dans le cortex visuel primaire, on observe aussi une représentation de la précision dans l’activité de la population neurale. Nous avons été surpris d’observer que les neurones de cette aire corticale communiquent entre eux en fonction de cette valeur de précision. Pour comprendre ce mécanisme dynamique, on peut ainsi imaginer que comme un peintre ajustant une touche de peinture sur son œuvre, la représentation de notre environnement visuel se construit progressivement, en fonction des informations qui arrivent dans les aires visuelles. Ces informations sont en toute logique intégrées avec des poids qui sont modulés par la précision de chaque élément de l’image. De nouvelles expériences sont nécessaires pour mieux comprendre ces mécanismes et notamment pour savoir comment nous arrivons à les intégrer dynamiquement dans le flux incessant d’informations auxquelles notre système sensoriel est confronté.</w:t>
      </w:r>
    </w:p>
    <w:p>
      <w:pPr>
        <w:pStyle w:val="Heading1"/>
      </w:pPr>
      <w:bookmarkStart w:id="42" w:name="de-lutilité-du-hasard"/>
      <w:r>
        <w:t xml:space="preserve">De l’utilité du hasard</w:t>
      </w:r>
      <w:bookmarkEnd w:id="42"/>
    </w:p>
    <w:p>
      <w:pPr>
        <w:pStyle w:val="FirstParagraph"/>
      </w:pPr>
      <w:r>
        <w:t xml:space="preserve">Pour conclure, nous avons invoqué le hasard pour mieux comprendre le cerveau. Même si on peut en déduire que le hasard n’existe pas comme un processus physique dans la Nature, il constitue une notion essentielle pour donner du sens à des mécanismes complexes qui ont lieu dans le cerveau. Ainsi, il donne des poids différents à différentes croyances et semble être une composante essentielle de l’intégration de ces</w:t>
      </w:r>
      <w:r>
        <w:t xml:space="preserve"> </w:t>
      </w:r>
      <w:r>
        <w:t xml:space="preserve">“</w:t>
      </w:r>
      <w:r>
        <w:t xml:space="preserve">bits</w:t>
      </w:r>
      <w:r>
        <w:t xml:space="preserve">”</w:t>
      </w:r>
      <w:r>
        <w:t xml:space="preserve"> </w:t>
      </w:r>
      <w:r>
        <w:t xml:space="preserve">d’information distribués dans notre cerveau vers une conscience globale du monde qui nous environne. À ce titre, il semble prometteur de rajouter ces connaissances neuro-scientifiques aux futurs algorithmes d’intelligence artificiels. En echo à la comédie de Marivaux, espérons que le hasard permettra d’allier neurosciences et informatique pour mieux comprendre l’intelligence.</w:t>
      </w:r>
    </w:p>
    <w:p>
      <w:pPr>
        <w:pStyle w:val="Heading2"/>
      </w:pPr>
      <w:bookmarkStart w:id="43" w:name="references"/>
      <w:r>
        <w:t xml:space="preserve">References</w:t>
      </w:r>
      <w:bookmarkEnd w:id="43"/>
    </w:p>
    <w:bookmarkStart w:id="57" w:name="refs"/>
    <w:bookmarkStart w:id="48"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4">
        <w:r>
          <w:rPr>
            <w:rStyle w:val="Hyperlink"/>
          </w:rPr>
          <w:t xml:space="preserve">https://doi.org/gjpqzz</w:t>
        </w:r>
      </w:hyperlink>
      <w:r>
        <w:t xml:space="preserve"> </w:t>
      </w:r>
      <w:r>
        <w:br/>
      </w:r>
      <w:r>
        <w:t xml:space="preserve">DOI:</w:t>
      </w:r>
      <w:r>
        <w:t xml:space="preserve"> </w:t>
      </w:r>
      <w:hyperlink r:id="rId45">
        <w:r>
          <w:rPr>
            <w:rStyle w:val="Hyperlink"/>
          </w:rPr>
          <w:t xml:space="preserve">10.1371/journal.pcbi.1007438</w:t>
        </w:r>
      </w:hyperlink>
      <w:r>
        <w:t xml:space="preserve"> </w:t>
      </w:r>
      <w:r>
        <w:t xml:space="preserve">· PMID:</w:t>
      </w:r>
      <w:r>
        <w:t xml:space="preserve"> </w:t>
      </w:r>
      <w:hyperlink r:id="rId46">
        <w:r>
          <w:rPr>
            <w:rStyle w:val="Hyperlink"/>
          </w:rPr>
          <w:t xml:space="preserve">32282790</w:t>
        </w:r>
      </w:hyperlink>
      <w:r>
        <w:t xml:space="preserve"> </w:t>
      </w:r>
      <w:r>
        <w:t xml:space="preserve">· PMCID:</w:t>
      </w:r>
      <w:r>
        <w:t xml:space="preserve"> </w:t>
      </w:r>
      <w:hyperlink r:id="rId47">
        <w:r>
          <w:rPr>
            <w:rStyle w:val="Hyperlink"/>
          </w:rPr>
          <w:t xml:space="preserve">PMC7179935</w:t>
        </w:r>
      </w:hyperlink>
    </w:p>
    <w:bookmarkEnd w:id="48"/>
    <w:bookmarkStart w:id="51" w:name="ref-16isfQxug"/>
    <w:p>
      <w:pPr>
        <w:pStyle w:val="Bibliography"/>
      </w:pPr>
      <w:r>
        <w:t xml:space="preserve">2.</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(2021-03-30)</w:t>
      </w:r>
      <w:r>
        <w:t xml:space="preserve"> </w:t>
      </w:r>
      <w:hyperlink r:id="rId49">
        <w:r>
          <w:rPr>
            <w:rStyle w:val="Hyperlink"/>
          </w:rPr>
          <w:t xml:space="preserve">https://doi.org/gjpqzx</w:t>
        </w:r>
      </w:hyperlink>
      <w:r>
        <w:t xml:space="preserve"> </w:t>
      </w:r>
      <w:r>
        <w:br/>
      </w:r>
      <w:r>
        <w:t xml:space="preserve">DOI:</w:t>
      </w:r>
      <w:r>
        <w:t xml:space="preserve"> </w:t>
      </w:r>
      <w:hyperlink r:id="rId50">
        <w:r>
          <w:rPr>
            <w:rStyle w:val="Hyperlink"/>
          </w:rPr>
          <w:t xml:space="preserve">10.1101/2021.03.30.437692</w:t>
        </w:r>
      </w:hyperlink>
    </w:p>
    <w:bookmarkEnd w:id="51"/>
    <w:bookmarkStart w:id="56" w:name="ref-9M7pkQ8A"/>
    <w:p>
      <w:pPr>
        <w:pStyle w:val="Bibliography"/>
      </w:pPr>
      <w:r>
        <w:t xml:space="preserve">3.</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2">
        <w:r>
          <w:rPr>
            <w:rStyle w:val="Hyperlink"/>
          </w:rPr>
          <w:t xml:space="preserve">https://doi.org/gcjp95</w:t>
        </w:r>
      </w:hyperlink>
      <w:r>
        <w:t xml:space="preserve"> </w:t>
      </w:r>
      <w:r>
        <w:br/>
      </w:r>
      <w:r>
        <w:t xml:space="preserve">DOI:</w:t>
      </w:r>
      <w:r>
        <w:t xml:space="preserve"> </w:t>
      </w:r>
      <w:hyperlink r:id="rId53">
        <w:r>
          <w:rPr>
            <w:rStyle w:val="Hyperlink"/>
          </w:rPr>
          <w:t xml:space="preserve">10.1113/jphysiol.1959.sp006308</w:t>
        </w:r>
      </w:hyperlink>
      <w:r>
        <w:t xml:space="preserve"> </w:t>
      </w:r>
      <w:r>
        <w:t xml:space="preserve">· PMID:</w:t>
      </w:r>
      <w:r>
        <w:t xml:space="preserve"> </w:t>
      </w:r>
      <w:hyperlink r:id="rId54">
        <w:r>
          <w:rPr>
            <w:rStyle w:val="Hyperlink"/>
          </w:rPr>
          <w:t xml:space="preserve">14403679</w:t>
        </w:r>
      </w:hyperlink>
      <w:r>
        <w:t xml:space="preserve"> </w:t>
      </w:r>
      <w:r>
        <w:t xml:space="preserve">· PMCID:</w:t>
      </w:r>
      <w:r>
        <w:t xml:space="preserve"> </w:t>
      </w:r>
      <w:hyperlink r:id="rId55">
        <w:r>
          <w:rPr>
            <w:rStyle w:val="Hyperlink"/>
          </w:rPr>
          <w:t xml:space="preserve">PMC1363130</w:t>
        </w:r>
      </w:hyperlink>
    </w:p>
    <w:bookmarkEnd w:id="56"/>
    <w:bookmarkEnd w:id="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0" Target="media/rId40.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fcc57c0f0f7d03c6335dc4bae1051a038967a0b4"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fcc57c0f0f7d03c6335dc4bae1051a038967a0b4/"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fcc57c0f0f7d03c6335dc4bae1051a038967a0b4"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fcc57c0f0f7d03c6335dc4bae1051a038967a0b4/"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2021-04-13T10:02:57Z</dcterms:created>
  <dcterms:modified xsi:type="dcterms:W3CDTF">2021-04-13T10:02:57Z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