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7.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laurentperrinet/2021_theconversation_hasard@2501326</w:t>
        </w:r>
      </w:hyperlink>
      <w:r>
        <w:t xml:space="preserve"> </w:t>
      </w:r>
      <w:r>
        <w:t xml:space="preserve">on April 13,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Heading2"/>
      </w:pPr>
      <w:bookmarkStart w:id="30" w:name="abstract"/>
      <w:r>
        <w:t xml:space="preserve">Abstract</w:t>
      </w:r>
      <w:bookmarkEnd w:id="30"/>
    </w:p>
    <w:p>
      <w:pPr>
        <w:pStyle w:val="FirstParagraph"/>
      </w:pPr>
      <w:r>
        <w:t xml:space="preserve">Dans la pièce de théâtre la plus célèbre de Marivaux</w:t>
      </w:r>
      <w:r>
        <w:t xml:space="preserve"> </w:t>
      </w:r>
      <w:r>
        <w:t xml:space="preserve">“</w:t>
      </w:r>
      <w:hyperlink r:id="rId31">
        <w:r>
          <w:rPr>
            <w:rStyle w:val="Hyperlink"/>
          </w:rPr>
          <w:t xml:space="preserve">Le jeu de l’amour et du hasard</w:t>
        </w:r>
      </w:hyperlink>
      <w:r>
        <w:t xml:space="preserve">”</w:t>
      </w:r>
      <w:r>
        <w:t xml:space="preserve">, en jouant à inverser le rôle des personnages, on invite le hasard à guider leur destin. De la même façon, notre cerveau est confronté dans la vie quotidienne à des incertitudes au point d’attribuer à un esprit malin le fait que la tartine tombe du côté de la confiture ou alors que la prise USB est toujours dans le sens inverse. Le hasard s’invite ainsi comme un personnage à part entière, et on peut s’interroger du rôle que celui-ci peut jouer dans le fonctionnement de notre cerveau.</w:t>
      </w:r>
    </w:p>
    <w:p>
      <w:pPr>
        <w:pStyle w:val="Heading1"/>
      </w:pPr>
      <w:bookmarkStart w:id="32" w:name="les-loteries-jouent-avec-notre-cerveau"/>
      <w:r>
        <w:t xml:space="preserve">Les loteries jouent avec notre cerveau</w:t>
      </w:r>
      <w:bookmarkEnd w:id="32"/>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le hasard et les mécanismes ancestraux du fonctionnement de notre cerveau. En effet, si nous sommes prêts dans une loterie à risquer de perdre un peu d’argent pour en gagner gagner beaucoup, on sait pertinemment que si il est très rare de gagner on est assuré de perdre à presque tous les coups ! Pourquoi alors nous abandonner à ce plaisir paradoxal ? En théorie, les règles sont préétablies et avec le hasard comme seul arbitre, on peut prédire les gains à long terme et certains jeux sont plus justes que d’autres.</w:t>
      </w:r>
      <w:r>
        <w:t xml:space="preserve"> </w:t>
      </w:r>
      <w:r>
        <w:t xml:space="preserve">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oeuvre à la loterie nationale pour que le tirage des boules un jour donné soit complètement indépendant de celui qui est fait le jour suivant. On peut aussi montrer mathématiquement que de telles séries peuvent bien apparaître et qu’elle s’explique entièrement par une série de coïncidences. Il est arrivé qu’une loterie bulgare donne deux fois le même tirage deux jours consécutifs ou plus récemment qu’une loterie en Afrique du Sud donne la série des nombres consécutifs de cinq à neuf! C’est extrêmement rare, mais d’un autre côté nécessaire car tous les tirages sont possibles, y compris les plus surprenants ! Le fait qu’on les trouve surprenant révèle un biais cognitif sur notre perception du hasard, trace de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Paradoxalement on en déduit que l’on peut effectivement tirer une stratégie de gain, une sorte de martingale infaillible. Il suffit en effet simplement de connaître les biais cognitifs et de jouer… l’inverse !</w:t>
      </w:r>
      <w:r>
        <w:t xml:space="preserve"> </w:t>
      </w:r>
      <w:r>
        <w:t xml:space="preserve">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ce biais cognitif ne les joueront pas. Par conséquent, on aura moins de gagnants et notre stratégie se partagera un gain plus important.</w:t>
      </w:r>
    </w:p>
    <w:bookmarkStart w:id="0" w:name="fig:trames"/>
    <w:p>
      <w:pPr>
        <w:pStyle w:val="CaptionedFigure"/>
      </w:pPr>
      <w:bookmarkStart w:id="34" w:name="fig:trames"/>
      <w:r>
        <w:drawing>
          <wp:inline>
            <wp:extent cx="5943600" cy="3166618"/>
            <wp:effectExtent b="0" l="0" r="0" t="0"/>
            <wp:docPr descr="Figure 1: Notre cerveau crée des formes dans le bruit. Dans cet oeuvre d’Etienne Rey, “Trames”, des points sont générés aléatoirement et reliés par triangulation, c’est-à-dire de telle façon que les segments reliant les points ne se croisent pas. Notre oeil interprète les coi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3"/>
                    <a:stretch>
                      <a:fillRect/>
                    </a:stretch>
                  </pic:blipFill>
                  <pic:spPr bwMode="auto">
                    <a:xfrm>
                      <a:off x="0" y="0"/>
                      <a:ext cx="5943600" cy="3166618"/>
                    </a:xfrm>
                    <a:prstGeom prst="rect">
                      <a:avLst/>
                    </a:prstGeom>
                    <a:noFill/>
                    <a:ln w="9525">
                      <a:noFill/>
                      <a:headEnd/>
                      <a:tailEnd/>
                    </a:ln>
                  </pic:spPr>
                </pic:pic>
              </a:graphicData>
            </a:graphic>
          </wp:inline>
        </w:drawing>
      </w:r>
      <w:bookmarkEnd w:id="34"/>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par triangulation, c’est-à-dire de telle façon que les segments reliant les points ne se croisent pas. Notre oeil interprète les coincidences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5">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le hasard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 plus de chance de gagner - une telle pression a donc sûrement opéré au cours de l’évolution pour sélectionner les meilleures stratégies d’intégration des informations tirées du hasard.</w:t>
      </w:r>
    </w:p>
    <w:p>
      <w:pPr>
        <w:pStyle w:val="Heading1"/>
      </w:pPr>
      <w:bookmarkStart w:id="36" w:name="construire-des-croyances"/>
      <w:r>
        <w:t xml:space="preserve">Construire des croyances</w:t>
      </w:r>
      <w:bookmarkEnd w:id="36"/>
    </w:p>
    <w:p>
      <w:pPr>
        <w:pStyle w:val="FirstParagraph"/>
      </w:pPr>
      <w:r>
        <w:t xml:space="preserve">Dans le jeu de loto, nous avons en quelque sorte mesuré le hasard, en établissant des fréquences d’occurrences d’événements. Ainsi, on peut observer à partir d’un grand nombre d’observations que le tirage d’une boule a bien une chance sur 49 d’arriver.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Cependant,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une prédiction explicite de la direction au prochain essai telle qu’elle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8"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7"/>
                    <a:stretch>
                      <a:fillRect/>
                    </a:stretch>
                  </pic:blipFill>
                  <pic:spPr bwMode="auto">
                    <a:xfrm>
                      <a:off x="0" y="0"/>
                      <a:ext cx="5943600" cy="3606886"/>
                    </a:xfrm>
                    <a:prstGeom prst="rect">
                      <a:avLst/>
                    </a:prstGeom>
                    <a:noFill/>
                    <a:ln w="9525">
                      <a:noFill/>
                      <a:headEnd/>
                      <a:tailEnd/>
                    </a:ln>
                  </pic:spPr>
                </pic:pic>
              </a:graphicData>
            </a:graphic>
          </wp:inline>
        </w:drawing>
      </w:r>
      <w:bookmarkEnd w:id="38"/>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w:t>
      </w:r>
    </w:p>
    <w:bookmarkEnd w:id="0"/>
    <w:p>
      <w:pPr>
        <w:pStyle w:val="BodyText"/>
      </w:pPr>
      <w:r>
        <w:t xml:space="preserve">L’étude des différentes stratégies révélées dans ce comportements d’exploitation et d’exploration peuvent être un marqueur pour détecter des pathologies neuronales. En effet, la population humaine révèle une grande diversité de profils cognitifs et il est ardu de définir un standard neuro-typique monolithique. En faisant un lien entre cerveau et hasard, nous pouvons exploiter cette connaissance fondamentale pour mieux comprendre cette diversité. Parmi le spectre du répertoire des comportements humains par exemple, les comportements schizophrènes se manifestent en particulier par des délusions et une certaine impulsivité. Ceci est illustré par une expérience simple: Imaginons une urne opaque qui contient 100 billes bleu et rouge dans une proportion non équilibrée: par exemple soit 90 rouges et 10 bleus ou bien 10 rouges et 90 bleus. Le but du jeu est de tirer une conclusion pour savoir quelle est la couleur majoritaire tout en prélevant le moins de billes possible.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9" w:name="un-processus-dynamique"/>
      <w:r>
        <w:t xml:space="preserve">Un processus dynamique</w:t>
      </w:r>
      <w:bookmarkEnd w:id="39"/>
    </w:p>
    <w:p>
      <w:pPr>
        <w:pStyle w:val="FirstParagraph"/>
      </w:pPr>
      <w:r>
        <w:t xml:space="preserve">Bien plus que de simples statistiques sur des fréquences d’occurrence d’événements, le cerveau semble donc manipuler des croyances complexes sur son environnement présent et futur. Mais en pratique, les mécanismes qui sont en jeu sont encore mal connus et bien éloignés de l’analogie que l’on a pu faire entre intelligence et automates ou robots, ou encore plus récemment avec les ordinateurs et ce que l’on appelle l’intelligence artificielle.</w:t>
      </w:r>
    </w:p>
    <w:p>
      <w:pPr>
        <w:pStyle w:val="BodyText"/>
      </w:pPr>
      <w:r>
        <w:t xml:space="preserve">D’un coté, un ordinateur est par construction déterministe et il n’y a pas de place pour le hasard. De l’autre, on a vu que notre cerveau utilise le hasard, de telle sorte que des découvertes scientifiques peuvent être dûes au hasard - ce qu’on appelle la sérendipité. On va jusqu’à attribuer au hasard une personnalité: On jure contre ce qui a fait que la tartine tombe du côté de la confiture ou que cette maudite fiche du cable USB soit systématiquement dans le sens inverse. Une contribution d’</w:t>
      </w:r>
      <w:hyperlink r:id="rId40">
        <w:r>
          <w:rPr>
            <w:rStyle w:val="Hyperlink"/>
          </w:rPr>
          <w:t xml:space="preserve">Antoine-Augustin Cournot</w:t>
        </w:r>
      </w:hyperlink>
      <w:r>
        <w:t xml:space="preserve"> </w:t>
      </w:r>
      <w:r>
        <w:t xml:space="preserve">et d’avoir démystifié cette origine du hasard. Économiste, ils étudiait durant le XIXe siècle des processus d’établissement de monopoles économique. S’interrogeant sur les aléas qui perturbent les données qu’ils étudiait, il fit cette proposition simple. Le hasard n’est pas un processus autonome, il émerge de processus bien déterministes mais qui interagissent indépendamment. Dans cette vision, le hasard n’existe pas mais c’est l’ignorance sur l’origine des sources qui crée le hasard, résonnant ainsi de façon singulière avec la définition donnée par Henri Poincaré. Une branche entière des mathématiques étudie la théorie des probabilités et permet en particulier d’affiner les algorithmes classiques d’intelligence artificielle en intégrant cette mesure de la précision des croyances aux différents niveaux du traitement de l’information. Est-ce qu’une telle théorie pourrait être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géométriques parallèles</w:t>
      </w:r>
      <w:r>
        <w:t xml:space="preserve"> </w:t>
      </w:r>
      <w:r>
        <w:t xml:space="preserve">[</w:t>
      </w:r>
      <w:hyperlink w:anchor="ref-9M7pkQ8A">
        <w:r>
          <w:rPr>
            <w:rStyle w:val="Hyperlink"/>
          </w:rPr>
          <w:t xml:space="preserve">3</w:t>
        </w:r>
      </w:hyperlink>
      <w:r>
        <w:t xml:space="preserve">]</w:t>
      </w:r>
      <w:r>
        <w:t xml:space="preserve">. En complément de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s pourcentage d’occurence des différents angles détectés dans l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les pourcentage d’occurence des différents angles détectés dans les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par rapport à la texture d’un objet pour laquelle la précision est plus large. Nos expériences ont révélé que si on réplique bien les expériences classiques et que l’on a bien affaire à une représentation de l’orientation dans le cortex visuel primaire, on observe aussi une représentation de la précision dans l’activité de la population neurale.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modulés par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 on peut en déduire que le hasard n’existe pas comme un processus physique dans la Nature, il constitue une notion essentielle pour donner du sens à des mécanismes complexes qui ont lieu dans le cerveau. Ainsi, il donne des poids différents à différentes croyances et semble être une composante essentielle de l’intégration de ces</w:t>
      </w:r>
      <w:r>
        <w:t xml:space="preserve"> </w:t>
      </w:r>
      <w:r>
        <w:t xml:space="preserve">“</w:t>
      </w:r>
      <w:r>
        <w:t xml:space="preserve">bits</w:t>
      </w:r>
      <w:r>
        <w:t xml:space="preserve">”</w:t>
      </w:r>
      <w:r>
        <w:t xml:space="preserve"> </w:t>
      </w:r>
      <w:r>
        <w:t xml:space="preserve">d’information distribués dans notre cerveau vers une conscience globale du monde qui nous environne. À ce titre, il semble prometteur de rajouter ces connaissances neuro-scientifiques aux futurs algorithmes d’intelligence artificiels. En echo à la comédie de Marivaux, espérons que le hasard permettra d’allier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2"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(2021-03-30)</w:t>
      </w:r>
      <w:r>
        <w:t xml:space="preserve"> </w:t>
      </w:r>
      <w:hyperlink r:id="rId50">
        <w:r>
          <w:rPr>
            <w:rStyle w:val="Hyperlink"/>
          </w:rPr>
          <w:t xml:space="preserve">https://doi.org/gjpqzx</w:t>
        </w:r>
      </w:hyperlink>
      <w:r>
        <w:t xml:space="preserve"> </w:t>
      </w:r>
      <w:r>
        <w:br/>
      </w:r>
      <w:r>
        <w:t xml:space="preserve">DOI:</w:t>
      </w:r>
      <w:r>
        <w:t xml:space="preserve"> </w:t>
      </w:r>
      <w:hyperlink r:id="rId51">
        <w:r>
          <w:rPr>
            <w:rStyle w:val="Hyperlink"/>
          </w:rPr>
          <w:t xml:space="preserve">10.1101/2021.03.30.437692</w:t>
        </w:r>
      </w:hyperlink>
    </w:p>
    <w:bookmarkEnd w:id="52"/>
    <w:bookmarkStart w:id="57" w:name="ref-9M7pkQ8A"/>
    <w:p>
      <w:pPr>
        <w:pStyle w:val="Bibliography"/>
      </w:pPr>
      <w:r>
        <w:t xml:space="preserve">3.</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3">
        <w:r>
          <w:rPr>
            <w:rStyle w:val="Hyperlink"/>
          </w:rPr>
          <w:t xml:space="preserve">https://doi.org/gcjp95</w:t>
        </w:r>
      </w:hyperlink>
      <w:r>
        <w:t xml:space="preserve"> </w:t>
      </w:r>
      <w:r>
        <w:br/>
      </w:r>
      <w:r>
        <w:t xml:space="preserve">DOI:</w:t>
      </w:r>
      <w:r>
        <w:t xml:space="preserve"> </w:t>
      </w:r>
      <w:hyperlink r:id="rId54">
        <w:r>
          <w:rPr>
            <w:rStyle w:val="Hyperlink"/>
          </w:rPr>
          <w:t xml:space="preserve">10.1113/jphysiol.1959.sp006308</w:t>
        </w:r>
      </w:hyperlink>
      <w:r>
        <w:t xml:space="preserve"> </w:t>
      </w:r>
      <w:r>
        <w:t xml:space="preserve">· PMID:</w:t>
      </w:r>
      <w:r>
        <w:t xml:space="preserve"> </w:t>
      </w:r>
      <w:hyperlink r:id="rId55">
        <w:r>
          <w:rPr>
            <w:rStyle w:val="Hyperlink"/>
          </w:rPr>
          <w:t xml:space="preserve">14403679</w:t>
        </w:r>
      </w:hyperlink>
      <w:r>
        <w:t xml:space="preserve"> </w:t>
      </w:r>
      <w:r>
        <w:t xml:space="preserve">· PMCID:</w:t>
      </w:r>
      <w:r>
        <w:t xml:space="preserve"> </w:t>
      </w:r>
      <w:hyperlink r:id="rId56">
        <w:r>
          <w:rPr>
            <w:rStyle w:val="Hyperlink"/>
          </w:rPr>
          <w:t xml:space="preserve">PMC1363130</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7" Target="media/rId37.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5" Target="http://henripoincarepapers.univ-nantes.fr/chp/text/hp1907rm.html" TargetMode="External" /><Relationship Type="http://schemas.openxmlformats.org/officeDocument/2006/relationships/hyperlink" Id="rId51" Target="https://doi.org/10.1101/2021.03.30.437692" TargetMode="External" /><Relationship Type="http://schemas.openxmlformats.org/officeDocument/2006/relationships/hyperlink" Id="rId54"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3" Target="https://doi.org/gcjp95" TargetMode="External" /><Relationship Type="http://schemas.openxmlformats.org/officeDocument/2006/relationships/hyperlink" Id="rId50" Target="https://doi.org/gjpqzx" TargetMode="External" /><Relationship Type="http://schemas.openxmlformats.org/officeDocument/2006/relationships/hyperlink" Id="rId45" Target="https://doi.org/gjpqzz" TargetMode="External" /><Relationship Type="http://schemas.openxmlformats.org/officeDocument/2006/relationships/hyperlink" Id="rId40" Target="https://fr.wikipedia.org/wiki/Antoine-Augustin_Cournot" TargetMode="External" /><Relationship Type="http://schemas.openxmlformats.org/officeDocument/2006/relationships/hyperlink" Id="rId31"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25013269130af0b6a0b7c78e4c9028e888dc56af"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25013269130af0b6a0b7c78e4c9028e888dc56af/"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6"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5"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5" Target="http://henripoincarepapers.univ-nantes.fr/chp/text/hp1907rm.html" TargetMode="External" /><Relationship Type="http://schemas.openxmlformats.org/officeDocument/2006/relationships/hyperlink" Id="rId51" Target="https://doi.org/10.1101/2021.03.30.437692" TargetMode="External" /><Relationship Type="http://schemas.openxmlformats.org/officeDocument/2006/relationships/hyperlink" Id="rId54"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3" Target="https://doi.org/gcjp95" TargetMode="External" /><Relationship Type="http://schemas.openxmlformats.org/officeDocument/2006/relationships/hyperlink" Id="rId50" Target="https://doi.org/gjpqzx" TargetMode="External" /><Relationship Type="http://schemas.openxmlformats.org/officeDocument/2006/relationships/hyperlink" Id="rId45" Target="https://doi.org/gjpqzz" TargetMode="External" /><Relationship Type="http://schemas.openxmlformats.org/officeDocument/2006/relationships/hyperlink" Id="rId40" Target="https://fr.wikipedia.org/wiki/Antoine-Augustin_Cournot" TargetMode="External" /><Relationship Type="http://schemas.openxmlformats.org/officeDocument/2006/relationships/hyperlink" Id="rId31"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25013269130af0b6a0b7c78e4c9028e888dc56af"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25013269130af0b6a0b7c78e4c9028e888dc56af/"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6"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5"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2021-04-13T09:12:23Z</dcterms:created>
  <dcterms:modified xsi:type="dcterms:W3CDTF">2021-04-13T09:12:23Z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