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1.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laurentperrinet/2021_theconversation_hasard@0c8e6bf</w:t>
        </w:r>
      </w:hyperlink>
      <w:r>
        <w:t xml:space="preserve"> </w:t>
      </w:r>
      <w:r>
        <w:t xml:space="preserve">on June 21,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l’auteur joue à inverser le rôle des personnages, et le hasard est invité à guider leurs destins. De la même façon, notre cerveau est quotidiennement confronté au hasard, aussi bien dans une loterie que dans les incertitudes et ambiguïtés révélées dans les illusions d’optique. Au point que l’on peut attribuer à un esprit malin le fait que la tartine tombe du côté de la confiture, ou que la fiche du câble USB soit toujours dans le mauvais sens.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qui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à la longue, tous les tirages sont possibles, y compris les plus surprenants.</w:t>
      </w:r>
    </w:p>
    <w:p>
      <w:pPr>
        <w:pStyle w:val="BodyText"/>
      </w:pPr>
      <w:r>
        <w:t xml:space="preserve">Le fait qu’on les trouve surprenants révèle en fait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2"/>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 En observant deux joueurs de go, on va avoir l’impression que les coups sont joués quasi au hasard si l’on ignore tout des règles du jeu, alors que ce jeu ne fait aucunement intervenir la chance. Dans cette perspective, le hasard peut émerger de processus bien déterministes quand l’observateur ignore tout des interactions entre ces processus. Une croyance est dans ce contexte une mesure de cette ignorance.</w:t>
      </w:r>
    </w:p>
    <w:p>
      <w:pPr>
        <w:pStyle w:val="BodyText"/>
      </w:pPr>
      <w:r>
        <w:t xml:space="preserve">Ainsi, au lieu d’être passif vis-à-vis du hasard, notre cerveau a évolué pour manipuler ces croyances et pouvoir les intégrer en fonction de leur précision relative. Toutefois, les mécanismes qui sont en jeu sont encore mal connus et bien éloignés de l’analogie que l’on peut faire entre intelligence biologique et l’intelligence artificielle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par construction déterministes et il n’y a pas de place pour le hasard. À l’opposé, notre cerveau utilise le hasard, et il arrive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et manipuler une croyance. Par exemple, une mesure physique comme l’orientation d’un objet dans une scène visuelle est donnée par sa valeur moyenne mais aussi par sa dispersion autour de cette valeur moyenne. Cela permet en particulier d’affiner les algorithmes classiques d’intelligence artificielle car cela permet d’intégrer plusieurs croyances de sources différentes, en particulier si elles possédent des précisions différentes.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et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 </w:t>
      </w:r>
      <w:r>
        <w:t xml:space="preserve">[</w:t>
      </w:r>
      <w:hyperlink w:anchor="ref-9M7pkQ8A">
        <w:r>
          <w:rPr>
            <w:rStyle w:val="Hyperlink"/>
          </w:rPr>
          <w:t xml:space="preserve">2</w:t>
        </w:r>
      </w:hyperlink>
      <w:r>
        <w:t xml:space="preserve">]</w:t>
      </w:r>
      <w:r>
        <w:t xml:space="preserve">, on sait que les neurones de cette région répondent à l’orientation des contours dans l’image, par exemple celle d’une barre qui serait présentée devant nos yeux.</w:t>
      </w:r>
    </w:p>
    <w:p>
      <w:pPr>
        <w:pStyle w:val="BodyText"/>
      </w:pPr>
      <w:r>
        <w:t xml:space="preserve">Pour étendre la portée de ces expériences fondatrices des neurosciences de la vision,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 en modifiant la précision de cette orientation qui peut ainsi être transformée depuis une barre parfaitement orientée, à une orientation plus naturelle jusqu’à une texture non orientée.</w:t>
      </w:r>
    </w:p>
    <w:bookmarkStart w:id="0" w:name="fig:obv1"/>
    <w:p>
      <w:pPr>
        <w:pStyle w:val="CaptionedFigure"/>
      </w:pPr>
      <w:bookmarkStart w:id="42"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1"/>
                    <a:stretch>
                      <a:fillRect/>
                    </a:stretch>
                  </pic:blipFill>
                  <pic:spPr bwMode="auto">
                    <a:xfrm>
                      <a:off x="0" y="0"/>
                      <a:ext cx="3901440" cy="2776728"/>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(comme l’objet sur la figure</w:t>
      </w:r>
      <w:r>
        <w:t xml:space="preserve"> </w:t>
      </w:r>
      <w:hyperlink w:anchor="fig:obv1">
        <w:r>
          <w:rPr>
            <w:rStyle w:val="Hyperlink"/>
          </w:rPr>
          <w:t xml:space="preserve">3</w:t>
        </w:r>
      </w:hyperlink>
      <w:r>
        <w:t xml:space="preserve">) par rapport à la texture d’un objet pour laquelle la précision est moindre (comme la texture à droite de la figure</w:t>
      </w:r>
      <w:r>
        <w:t xml:space="preserve"> </w:t>
      </w:r>
      <w:hyperlink w:anchor="fig:obv1">
        <w:r>
          <w:rPr>
            <w:rStyle w:val="Hyperlink"/>
          </w:rPr>
          <w:t xml:space="preserve">3</w:t>
        </w:r>
      </w:hyperlink>
      <w:r>
        <w:t xml:space="preserve">). Ces expériences de neurophysiologie ont révélé que l’activité de la population de neurones construit progressivement une représentation de l’orientation mais aussi de sa précision</w:t>
      </w:r>
      <w:r>
        <w:t xml:space="preserve"> </w:t>
      </w:r>
      <w:r>
        <w:t xml:space="preserve">[</w:t>
      </w:r>
      <w:hyperlink w:anchor="ref-16isfQxug">
        <w:r>
          <w:rPr>
            <w:rStyle w:val="Hyperlink"/>
          </w:rPr>
          <w:t xml:space="preserve">3</w:t>
        </w:r>
      </w:hyperlink>
      <w:r>
        <w:t xml:space="preserve">]</w:t>
      </w:r>
      <w:r>
        <w:t xml:space="preserve">. Nos résultats indiquent aussi que les neurones communiquent entre eux différentiellement en fonction de cette précision.</w:t>
      </w:r>
    </w:p>
    <w:p>
      <w:pPr>
        <w:pStyle w:val="BodyText"/>
      </w:pPr>
      <w:r>
        <w:t xml:space="preserve">Pour comprendre ce mécanisme dynamique, on peut imaginer qu’à la manière d’un peintre ajustant une touche de peinture sur son œuvre, la représentation de notre environnement visuel se construit progressivement. Les informations sont intégrées avec des poids qui correspondent à la précision de chaque élément de l’image. Dans le futur, de nouvelles expériences sont nécessaires pour mieux comprendre ces mécanismes. Nous souhaitons notamment comprendre comment nous intégrons les informations de manière dynamique, dans le flux incessant de stimuli auxquels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4"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0">
        <w:r>
          <w:rPr>
            <w:rStyle w:val="Hyperlink"/>
          </w:rPr>
          <w:t xml:space="preserve">https://doi.org/gcjp95</w:t>
        </w:r>
      </w:hyperlink>
      <w:r>
        <w:t xml:space="preserve"> </w:t>
      </w:r>
      <w:r>
        <w:br/>
      </w:r>
      <w:r>
        <w:t xml:space="preserve">DOI:</w:t>
      </w:r>
      <w:r>
        <w:t xml:space="preserve"> </w:t>
      </w:r>
      <w:hyperlink r:id="rId51">
        <w:r>
          <w:rPr>
            <w:rStyle w:val="Hyperlink"/>
          </w:rPr>
          <w:t xml:space="preserve">10.1113/jphysiol.1959.sp006308</w:t>
        </w:r>
      </w:hyperlink>
      <w:r>
        <w:t xml:space="preserve"> </w:t>
      </w:r>
      <w:r>
        <w:t xml:space="preserve">· PMID:</w:t>
      </w:r>
      <w:r>
        <w:t xml:space="preserve"> </w:t>
      </w:r>
      <w:hyperlink r:id="rId52">
        <w:r>
          <w:rPr>
            <w:rStyle w:val="Hyperlink"/>
          </w:rPr>
          <w:t xml:space="preserve">14403679</w:t>
        </w:r>
      </w:hyperlink>
      <w:r>
        <w:t xml:space="preserve"> </w:t>
      </w:r>
      <w:r>
        <w:t xml:space="preserve">· PMCID:</w:t>
      </w:r>
      <w:r>
        <w:t xml:space="preserve"> </w:t>
      </w:r>
      <w:hyperlink r:id="rId53">
        <w:r>
          <w:rPr>
            <w:rStyle w:val="Hyperlink"/>
          </w:rPr>
          <w:t xml:space="preserve">PMC1363130</w:t>
        </w:r>
      </w:hyperlink>
    </w:p>
    <w:bookmarkEnd w:id="54"/>
    <w:bookmarkStart w:id="57"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55">
        <w:r>
          <w:rPr>
            <w:rStyle w:val="Hyperlink"/>
          </w:rPr>
          <w:t xml:space="preserve">https://doi.org/gjpqzx</w:t>
        </w:r>
      </w:hyperlink>
      <w:r>
        <w:t xml:space="preserve"> </w:t>
      </w:r>
      <w:r>
        <w:br/>
      </w:r>
      <w:r>
        <w:t xml:space="preserve">DOI:</w:t>
      </w:r>
      <w:r>
        <w:t xml:space="preserve"> </w:t>
      </w:r>
      <w:hyperlink r:id="rId56">
        <w:r>
          <w:rPr>
            <w:rStyle w:val="Hyperlink"/>
          </w:rPr>
          <w:t xml:space="preserve">10.1101/2021.03.30.437692</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0c8e6bffc43dd916d990381250404237ac2c167e"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0c8e6bffc43dd916d990381250404237ac2c167e/"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0c8e6bffc43dd916d990381250404237ac2c167e"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0c8e6bffc43dd916d990381250404237ac2c167e/"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2021-06-21T14:26:04Z</dcterms:created>
  <dcterms:modified xsi:type="dcterms:W3CDTF">2021-06-21T14:26:04Z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