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26.svg" ContentType="image/svg+xml"/>
  <Override PartName="/word/media/rId24.svg" ContentType="image/svg+xml"/>
  <Override PartName="/word/media/rId44.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laurentperrinet/2021_theconversation_hasard@fbbb096</w:t>
        </w:r>
      </w:hyperlink>
      <w:r>
        <w:t xml:space="preserve"> </w:t>
      </w:r>
      <w:r>
        <w:t xml:space="preserve">on June 30,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w:t>
      </w:r>
    </w:p>
    <w:p>
      <w:pPr>
        <w:pStyle w:val="BodyText"/>
      </w:pPr>
      <w:r>
        <w:t xml:space="preserve">Par exemple, si vous observez deux joueurs de go alors que vous ignorez tout des règles du jeu, vous aurez l’impression que les coups sont joués au hasard, alors que pour de joueurs expérimentés ce jeu ne fait aucunement intervenir la chance, mais un haut niveau de stratégie. Dans cette perspective, l’impression de hasard – et donc sa gestion par notre cerveau – peut être causée par des processus bien déterministes quand bien même l’observateur ignore les causes de leurs interactions. En miroir de l’impression de hasard, une « croyance » serait, dans ce contexte, une mesure d’un « degré d’évidence » de l’observateur sur ces connaissances.</w:t>
      </w:r>
    </w:p>
    <w:p>
      <w:pPr>
        <w:pStyle w:val="BodyText"/>
      </w:pPr>
      <w:r>
        <w:t xml:space="preserve">Ainsi, au lieu d’être passif vis-à-vis du hasard, notre cerveau a dû évoluer pour manipuler ces « croyances », ou ces « interprétations a priori » de la situation à laquelle il fait face. Toutefois, les mécanismes biologiques qui sont en jeu sont mal connus et il existe encore une grande différence entre l’intelligence biologique révélée dans le cerveau et celle, artificielle, que l’on construit dans les automates ou robots, ou encore plus récemment avec les ordinateurs ou l’</w:t>
      </w:r>
      <w:hyperlink r:id="rId40">
        <w:r>
          <w:rPr>
            <w:rStyle w:val="Hyperlink"/>
          </w:rPr>
          <w:t xml:space="preserve">apprentissage profond</w:t>
        </w:r>
      </w:hyperlink>
      <w:r>
        <w:t xml:space="preserve">. Il n’y a pour ces derniers pas de place pour le hasard alors qu’à l’opposé, notre cerveau utilise le hasard, et qu’il arrive que, par « </w:t>
      </w:r>
      <w:hyperlink r:id="rId41">
        <w:r>
          <w:rPr>
            <w:rStyle w:val="Hyperlink"/>
          </w:rPr>
          <w:t xml:space="preserve">sérendipité</w:t>
        </w:r>
      </w:hyperlink>
      <w:r>
        <w:t xml:space="preserve"> », des découvertes scientifiques soient dues au hasard.</w:t>
      </w:r>
    </w:p>
    <w:p>
      <w:pPr>
        <w:pStyle w:val="BodyText"/>
      </w:pPr>
      <w:r>
        <w:t xml:space="preserve">Au niveau théorique, la théorie des probabilités, une branche des mathématiques, permet de définir une « croyance » comme un objet mathématique précis attribuant des probabilités aux différents événements possibles.</w:t>
      </w:r>
    </w:p>
    <w:p>
      <w:pPr>
        <w:pStyle w:val="BodyText"/>
      </w:pPr>
      <w:r>
        <w:t xml:space="preserve">Par exemple, imaginons que vous cherchiez à déterminer l’orientation des arbres dans une forêt : les troncs sont principalement orientés verticalement, mais quelques-uns sont penchés ou tordus. Équipée de notre outil théorique, cette mesure physique peut être représentée par la probabilité de vraisemblance de chacune des orientations possibles. Souvent, on peut représenter cette distribution de probabilités par sa valeur la plus probable et par la dispersion autour de cette valeur. Ce type de formalisation permet en particulier de manipuler différents degrés de « croyance » par des règles dites d’« </w:t>
      </w:r>
      <w:hyperlink r:id="rId42">
        <w:r>
          <w:rPr>
            <w:rStyle w:val="Hyperlink"/>
          </w:rPr>
          <w:t xml:space="preserve">inférence</w:t>
        </w:r>
      </w:hyperlink>
      <w:r>
        <w:t xml:space="preserve">».</w:t>
      </w:r>
    </w:p>
    <w:p>
      <w:pPr>
        <w:pStyle w:val="BodyText"/>
      </w:pPr>
      <w:r>
        <w:t xml:space="preserve">En pratique, cette notion permet d’affiner les algorithmes classiques d’intelligence artificielle et permet en particulier d’intégrer plusieurs distributions de probabilité de sources différentes. Par exemple, on peut inférer l’orientation d’un arbre à partir de fragments de son image, tout en donnant plus de poids à une information précise (par exemple l’image du bord de son tronc) par rapport à ce qui l’est moins (une vue du feuillage).</w:t>
      </w:r>
    </w:p>
    <w:p>
      <w:pPr>
        <w:pStyle w:val="BodyText"/>
      </w:pPr>
      <w:r>
        <w:t xml:space="preserve">Est-ce qu’un tel mécanisme pourrait être à l’œuvre dans le cerveau ?</w:t>
      </w:r>
    </w:p>
    <w:p>
      <w:pPr>
        <w:pStyle w:val="Heading1"/>
      </w:pPr>
      <w:bookmarkStart w:id="43" w:name="un-processus-dynamique"/>
      <w:r>
        <w:t xml:space="preserve">Un processus dynamique</w:t>
      </w:r>
      <w:bookmarkEnd w:id="43"/>
    </w:p>
    <w:p>
      <w:pPr>
        <w:pStyle w:val="FirstParagraph"/>
      </w:pPr>
      <w:r>
        <w:t xml:space="preserve">Récemment,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w:t>
      </w:r>
      <w:hyperlink w:anchor="ref-9M7pkQ8A">
        <w:r>
          <w:rPr>
            <w:rStyle w:val="Hyperlink"/>
          </w:rPr>
          <w:t xml:space="preserve">2</w:t>
        </w:r>
      </w:hyperlink>
      <w:r>
        <w:t xml:space="preserve">]</w:t>
      </w:r>
      <w:r>
        <w:t xml:space="preserve">, on sait que les neurones de cette région répondent préférentiellement à l’orientation des contours dans l’image, par exemple celle d’une barre lumineuse qui serait présentée devant nos yeux.</w:t>
      </w:r>
    </w:p>
    <w:p>
      <w:pPr>
        <w:pStyle w:val="BodyText"/>
      </w:pPr>
      <w:r>
        <w:t xml:space="preserve">Pour étendre la portée de ces expériences fondatrices des neurosciences de la vision, nous avons synthétisé des stimulations visuelles dans lesquelles nous manipulons explicitement la précision de cette orientation, comme sur les photos de l’image ci-dessous. Ainsi nous ajoutons aux images une nouvelle dimension qui représente le fait qu’un objet visuel peut être plus ou moins orienté en modifiant la précision de cette orientation. Celle-ci peut ainsi être transformée depuis une barre parfaitement orientée, à une orientation intermédiaire jusqu’à une texture totalement non orientée.</w:t>
      </w:r>
    </w:p>
    <w:bookmarkStart w:id="0" w:name="fig:obv1"/>
    <w:p>
      <w:pPr>
        <w:pStyle w:val="CaptionedFigure"/>
      </w:pPr>
      <w:bookmarkStart w:id="45"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4"/>
                    <a:stretch>
                      <a:fillRect/>
                    </a:stretch>
                  </pic:blipFill>
                  <pic:spPr bwMode="auto">
                    <a:xfrm>
                      <a:off x="0" y="0"/>
                      <a:ext cx="5943600" cy="1804272"/>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par rapport à la texture d’un objet pour laquelle la précision est moindre (comme la texture à droite de l’image). Ces expériences de neurophysiologie</w:t>
      </w:r>
      <w:r>
        <w:t xml:space="preserve"> </w:t>
      </w:r>
      <w:r>
        <w:t xml:space="preserve">[</w:t>
      </w:r>
      <w:hyperlink w:anchor="ref-16isfQxug">
        <w:r>
          <w:rPr>
            <w:rStyle w:val="Hyperlink"/>
          </w:rPr>
          <w:t xml:space="preserve">3</w:t>
        </w:r>
      </w:hyperlink>
      <w:r>
        <w:t xml:space="preserve">]</w:t>
      </w:r>
      <w:r>
        <w:t xml:space="preserve"> </w:t>
      </w:r>
      <w:r>
        <w:t xml:space="preserve">ont révélé que lorsque l’on présente ces stimulations, l’activité de la population de neurones construit graduellement une représentation de l’orientation, mais aussi de sa précision, donc du degré de croyance sur cette orientation. Nos résultats indiquent aussi que les neurones communiquent entre eux différentiellement en fonction de cette précision, notamment qu’une précision moins fine intègre son information plus lentement.</w:t>
      </w:r>
    </w:p>
    <w:p>
      <w:pPr>
        <w:pStyle w:val="BodyText"/>
      </w:pPr>
      <w:r>
        <w:t xml:space="preserve">Pour comprendre intuitivement ce mécanisme dynamique, on peut imaginer qu’à la manière d’un peintre ajustant une touche de peinture sur son œuvre, la représentation globale de notre environnement visuel se construit progressivement à partir de ces fragments. Dans le futur, de nouvelles expériences sont nécessaires pour mieux comprendre ces mécanismes. Nous souhaitons en particulier comprendre comment nous intégrons les informations de manière dynamique, dans le flux incessant des stimuli que notre système sensoriel doit traiter.</w:t>
      </w:r>
    </w:p>
    <w:p>
      <w:pPr>
        <w:pStyle w:val="Heading1"/>
      </w:pPr>
      <w:bookmarkStart w:id="46" w:name="de-lutilité-du-hasard"/>
      <w:r>
        <w:t xml:space="preserve">De l’utilité du hasard</w:t>
      </w:r>
      <w:bookmarkEnd w:id="46"/>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7" w:name="references"/>
      <w:r>
        <w:t xml:space="preserve">References</w:t>
      </w:r>
      <w:bookmarkEnd w:id="47"/>
    </w:p>
    <w:bookmarkStart w:id="61" w:name="refs"/>
    <w:bookmarkStart w:id="52"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8">
        <w:r>
          <w:rPr>
            <w:rStyle w:val="Hyperlink"/>
          </w:rPr>
          <w:t xml:space="preserve">https://doi.org/gjpqzz</w:t>
        </w:r>
      </w:hyperlink>
      <w:r>
        <w:t xml:space="preserve"> </w:t>
      </w:r>
      <w:r>
        <w:br/>
      </w:r>
      <w:r>
        <w:t xml:space="preserve">DOI:</w:t>
      </w:r>
      <w:r>
        <w:t xml:space="preserve"> </w:t>
      </w:r>
      <w:hyperlink r:id="rId49">
        <w:r>
          <w:rPr>
            <w:rStyle w:val="Hyperlink"/>
          </w:rPr>
          <w:t xml:space="preserve">10.1371/journal.pcbi.1007438</w:t>
        </w:r>
      </w:hyperlink>
      <w:r>
        <w:t xml:space="preserve"> </w:t>
      </w:r>
      <w:r>
        <w:t xml:space="preserve">· PMID:</w:t>
      </w:r>
      <w:r>
        <w:t xml:space="preserve"> </w:t>
      </w:r>
      <w:hyperlink r:id="rId50">
        <w:r>
          <w:rPr>
            <w:rStyle w:val="Hyperlink"/>
          </w:rPr>
          <w:t xml:space="preserve">32282790</w:t>
        </w:r>
      </w:hyperlink>
      <w:r>
        <w:t xml:space="preserve"> </w:t>
      </w:r>
      <w:r>
        <w:t xml:space="preserve">· PMCID:</w:t>
      </w:r>
      <w:r>
        <w:t xml:space="preserve"> </w:t>
      </w:r>
      <w:hyperlink r:id="rId51">
        <w:r>
          <w:rPr>
            <w:rStyle w:val="Hyperlink"/>
          </w:rPr>
          <w:t xml:space="preserve">PMC7179935</w:t>
        </w:r>
      </w:hyperlink>
    </w:p>
    <w:bookmarkEnd w:id="52"/>
    <w:bookmarkStart w:id="57"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3">
        <w:r>
          <w:rPr>
            <w:rStyle w:val="Hyperlink"/>
          </w:rPr>
          <w:t xml:space="preserve">https://doi.org/gcjp95</w:t>
        </w:r>
      </w:hyperlink>
      <w:r>
        <w:t xml:space="preserve"> </w:t>
      </w:r>
      <w:r>
        <w:br/>
      </w:r>
      <w:r>
        <w:t xml:space="preserve">DOI:</w:t>
      </w:r>
      <w:r>
        <w:t xml:space="preserve"> </w:t>
      </w:r>
      <w:hyperlink r:id="rId54">
        <w:r>
          <w:rPr>
            <w:rStyle w:val="Hyperlink"/>
          </w:rPr>
          <w:t xml:space="preserve">10.1113/jphysiol.1959.sp006308</w:t>
        </w:r>
      </w:hyperlink>
      <w:r>
        <w:t xml:space="preserve"> </w:t>
      </w:r>
      <w:r>
        <w:t xml:space="preserve">· PMID:</w:t>
      </w:r>
      <w:r>
        <w:t xml:space="preserve"> </w:t>
      </w:r>
      <w:hyperlink r:id="rId55">
        <w:r>
          <w:rPr>
            <w:rStyle w:val="Hyperlink"/>
          </w:rPr>
          <w:t xml:space="preserve">14403679</w:t>
        </w:r>
      </w:hyperlink>
      <w:r>
        <w:t xml:space="preserve"> </w:t>
      </w:r>
      <w:r>
        <w:t xml:space="preserve">· PMCID:</w:t>
      </w:r>
      <w:r>
        <w:t xml:space="preserve"> </w:t>
      </w:r>
      <w:hyperlink r:id="rId56">
        <w:r>
          <w:rPr>
            <w:rStyle w:val="Hyperlink"/>
          </w:rPr>
          <w:t xml:space="preserve">PMC1363130</w:t>
        </w:r>
      </w:hyperlink>
    </w:p>
    <w:bookmarkEnd w:id="57"/>
    <w:bookmarkStart w:id="60"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8">
        <w:r>
          <w:rPr>
            <w:rStyle w:val="Hyperlink"/>
          </w:rPr>
          <w:t xml:space="preserve">https://doi.org/gjpqzx</w:t>
        </w:r>
      </w:hyperlink>
      <w:r>
        <w:t xml:space="preserve"> </w:t>
      </w:r>
      <w:r>
        <w:br/>
      </w:r>
      <w:r>
        <w:t xml:space="preserve">DOI:</w:t>
      </w:r>
      <w:r>
        <w:t xml:space="preserve"> </w:t>
      </w:r>
      <w:hyperlink r:id="rId59">
        <w:r>
          <w:rPr>
            <w:rStyle w:val="Hyperlink"/>
          </w:rPr>
          <w:t xml:space="preserve">10.1101/2021.03.30.437692</w:t>
        </w:r>
      </w:hyperlink>
    </w:p>
    <w:bookmarkEnd w:id="60"/>
    <w:bookmarkEnd w:id="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4" Target="media/rId44.pn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9"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9"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8" Target="https://doi.org/gjpqzx" TargetMode="External" /><Relationship Type="http://schemas.openxmlformats.org/officeDocument/2006/relationships/hyperlink" Id="rId48"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42" Target="https://fr.wikipedia.org/wiki/Inf%C3%A9rence_bay%C3%A9sienne"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41"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bbb096d21293d1a8b909e03050c706343fe63af"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bbb096d21293d1a8b909e03050c706343fe63af/" TargetMode="External" /><Relationship Type="http://schemas.openxmlformats.org/officeDocument/2006/relationships/hyperlink" Id="rId25" Target="https://orcid.org/0000-0002-9536-010X" TargetMode="External" /><Relationship Type="http://schemas.openxmlformats.org/officeDocument/2006/relationships/hyperlink" Id="rId40"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51"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50"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9"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9"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8" Target="https://doi.org/gjpqzx" TargetMode="External" /><Relationship Type="http://schemas.openxmlformats.org/officeDocument/2006/relationships/hyperlink" Id="rId48"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42" Target="https://fr.wikipedia.org/wiki/Inf%C3%A9rence_bay%C3%A9sienne"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41"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bbb096d21293d1a8b909e03050c706343fe63af"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bbb096d21293d1a8b909e03050c706343fe63af/" TargetMode="External" /><Relationship Type="http://schemas.openxmlformats.org/officeDocument/2006/relationships/hyperlink" Id="rId25" Target="https://orcid.org/0000-0002-9536-010X" TargetMode="External" /><Relationship Type="http://schemas.openxmlformats.org/officeDocument/2006/relationships/hyperlink" Id="rId40"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51"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50"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2021-06-30T19:20:35Z</dcterms:created>
  <dcterms:modified xsi:type="dcterms:W3CDTF">2021-06-30T19:20:35Z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