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jpg" ContentType="image/jpeg"/>
  <Override PartName="/word/media/rId54.jpg" ContentType="image/jpeg"/>
  <Override PartName="/word/media/rId43.jpg" ContentType="image/jpeg"/>
  <Override PartName="/word/media/rId49.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laurentperrinet/2023-01-31_formes-et-perception@5baab42</w:t>
        </w:r>
      </w:hyperlink>
      <w:r>
        <w:t xml:space="preserve"> </w:t>
      </w:r>
      <w:r>
        <w:t xml:space="preserve">on February 1,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bookmarkEnd w:id="36"/>
    <w:bookmarkStart w:id="37" w:name="résumé"/>
    <w:p>
      <w:pPr>
        <w:pStyle w:val="Heading2"/>
      </w:pPr>
      <w:r>
        <w:t xml:space="preserve">Résumé</w:t>
      </w:r>
    </w:p>
    <w:p>
      <w:pPr>
        <w:pStyle w:val="FirstParagraph"/>
      </w:pPr>
      <w:r>
        <w:t xml:space="preserve">Observer une œuvre d’art peut nous permettre de comprendre la relation intime entre la réalité et la façon dont nous la percevons. Les récentes avancées en neurosciences nous permettent d’en apprendre davantage sur cette question fondamentale.</w:t>
      </w:r>
    </w:p>
    <w:bookmarkEnd w:id="37"/>
    <w:bookmarkStart w:id="48"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la dynamique ou la couleur, pour finalement former une représentation neurale qui sera transmise au reste du cerveau par le nerf optique.</w:t>
      </w:r>
    </w:p>
    <w:bookmarkStart w:id="0" w:name="fig:Retinotopy"/>
    <w:p>
      <w:pPr>
        <w:pStyle w:val="CaptionedFigure"/>
      </w:pPr>
      <w:bookmarkStart w:id="41" w:name="fig:Retinotopy"/>
      <w:r>
        <w:drawing>
          <wp:inline>
            <wp:extent cx="5943600" cy="1311462"/>
            <wp:effectExtent b="0" l="0" r="0" t="0"/>
            <wp:docPr descr="Figure 1: Retinotopie. Une image (extraite du tableau « Les ambassadeurs » d’Hans Holbein le Jeune) peut être représentée sur une grille régulière représentée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al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311462"/>
                    </a:xfrm>
                    <a:prstGeom prst="rect">
                      <a:avLst/>
                    </a:prstGeom>
                    <a:noFill/>
                    <a:ln w="9525">
                      <a:noFill/>
                      <a:headEnd/>
                      <a:tailEnd/>
                    </a:ln>
                  </pic:spPr>
                </pic:pic>
              </a:graphicData>
            </a:graphic>
          </wp:inline>
        </w:drawing>
      </w:r>
      <w:bookmarkEnd w:id="41"/>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42">
        <w:r>
          <w:rPr>
            <w:rStyle w:val="Hyperlink"/>
          </w:rPr>
          <w:t xml:space="preserve">« Les ambassadeurs » d’Hans Holbein le Jeune</w:t>
        </w:r>
      </w:hyperlink>
      <w:r>
        <w:t xml:space="preserve">) peut être représentée sur une grille régulière représentée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finalement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autour du centre de l’axe visuel, où environ la moitié de notre acuité visuelle est concentrée.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notamment sur les aires visuelles situées sur sa surface, le cortex. Ces aires conservent un arrangement rétinotopique,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 Le portrait est alors représenté comme l’activité neurale qui active des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6" w:name="fig:Trames"/>
      <w:r>
        <w:drawing>
          <wp:inline>
            <wp:extent cx="5943600" cy="3343275"/>
            <wp:effectExtent b="0" l="0" r="0" t="0"/>
            <wp:docPr descr="Figure 2: Trames Instabilité (Etienne Rey, 2018). Le projet est basé sur des principes d’occultations partielles en couches associées à des trames qui font émerger une dimension immatérielle et instable." title="" id="44" name="Picture"/>
            <a:graphic>
              <a:graphicData uri="http://schemas.openxmlformats.org/drawingml/2006/picture">
                <pic:pic>
                  <pic:nvPicPr>
                    <pic:cNvPr descr="https://ondesparalleles.org/wp-content/uploads/2020/01/B_2017-07-NBJ_ER_ADAGP.jpg" id="45" name="Picture"/>
                    <pic:cNvPicPr>
                      <a:picLocks noChangeArrowheads="1" noChangeAspect="1"/>
                    </pic:cNvPicPr>
                  </pic:nvPicPr>
                  <pic:blipFill>
                    <a:blip r:embed="rId43"/>
                    <a:stretch>
                      <a:fillRect/>
                    </a:stretch>
                  </pic:blipFill>
                  <pic:spPr bwMode="auto">
                    <a:xfrm>
                      <a:off x="0" y="0"/>
                      <a:ext cx="5943600" cy="3343275"/>
                    </a:xfrm>
                    <a:prstGeom prst="rect">
                      <a:avLst/>
                    </a:prstGeom>
                    <a:noFill/>
                    <a:ln w="9525">
                      <a:noFill/>
                      <a:headEnd/>
                      <a:tailEnd/>
                    </a:ln>
                  </pic:spPr>
                </pic:pic>
              </a:graphicData>
            </a:graphic>
          </wp:inline>
        </w:drawing>
      </w:r>
      <w:bookmarkEnd w:id="46"/>
    </w:p>
    <w:p>
      <w:pPr>
        <w:pStyle w:val="ImageCaption"/>
      </w:pPr>
      <w:r>
        <w:t xml:space="preserve">Figure 2:</w:t>
      </w:r>
      <w:r>
        <w:t xml:space="preserve"> </w:t>
      </w:r>
      <w:r>
        <w:rPr>
          <w:bCs/>
          <w:b/>
        </w:rPr>
        <w:t xml:space="preserve">Trames Instabilité</w:t>
      </w:r>
      <w:r>
        <w:t xml:space="preserve"> </w:t>
      </w:r>
      <w:hyperlink r:id="rId47">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L’œuvre « Trames Instabilité »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resserrée et rythmique. Une seconde grille est superposée en profondeur et crée un effet de moiré d’oscillation plus lente. Cette œuvre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en périphérie, suggérant une organisation en profondeur, mais cette perception disparaît dès qu’on veut la saisir, un mouvement oculaire tel qu’une saccade, ce qui invite à la remplacer par une autre.</w:t>
      </w:r>
    </w:p>
    <w:p>
      <w:pPr>
        <w:pStyle w:val="BodyText"/>
      </w:pPr>
      <w:r>
        <w:t xml:space="preserve">De ce résumé, on pourrait déduire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De concert, les phénomènes attentifs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8"/>
    <w:bookmarkStart w:id="59"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Densité"/>
    <w:p>
      <w:pPr>
        <w:pStyle w:val="CaptionedFigure"/>
      </w:pPr>
      <w:bookmarkStart w:id="52" w:name="fig:Densité"/>
      <w:r>
        <w:drawing>
          <wp:inline>
            <wp:extent cx="5943600" cy="3343275"/>
            <wp:effectExtent b="0" l="0" r="0" t="0"/>
            <wp:docPr descr="Figure 3: Densité – Flou (Etienne Rey, 2019). Des points placés au hasard sont reliés par triangulation, provoquant l’émergence de formes et volumes." title="" id="50" name="Picture"/>
            <a:graphic>
              <a:graphicData uri="http://schemas.openxmlformats.org/drawingml/2006/picture">
                <pic:pic>
                  <pic:nvPicPr>
                    <pic:cNvPr descr="https://ondesparalleles.org/wp-content/uploads/2020/02/E_FLOU-1.jpg" id="51"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bookmarkEnd w:id="52"/>
    </w:p>
    <w:p>
      <w:pPr>
        <w:pStyle w:val="ImageCaption"/>
      </w:pPr>
      <w:r>
        <w:t xml:space="preserve">Figure 3:</w:t>
      </w:r>
      <w:r>
        <w:t xml:space="preserve"> </w:t>
      </w:r>
      <w:r>
        <w:rPr>
          <w:bCs/>
          <w:b/>
        </w:rPr>
        <w:t xml:space="preserve">Densité – Flou</w:t>
      </w:r>
      <w:r>
        <w:t xml:space="preserve"> </w:t>
      </w:r>
      <w:hyperlink r:id="rId53">
        <w:r>
          <w:rPr>
            <w:rStyle w:val="Hyperlink"/>
          </w:rPr>
          <w:t xml:space="preserve">(Etienne Rey, 2019)</w:t>
        </w:r>
      </w:hyperlink>
      <w:r>
        <w:t xml:space="preserve">. Des points placés au hasard sont reliés par triangulation, provoquant l’émergence de formes et volumes.</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Densité – Flou », présentée à Avignon en 2019 (Figure</w:t>
      </w:r>
      <w:r>
        <w:t xml:space="preserve"> </w:t>
      </w:r>
      <w:hyperlink w:anchor="fig:Densité">
        <w:r>
          <w:rPr>
            <w:rStyle w:val="Hyperlink"/>
          </w:rPr>
          <w:t xml:space="preserve">3</w:t>
        </w:r>
      </w:hyperlink>
      <w:r>
        <w:t xml:space="preserve">), qui consistait en un ensemble de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Viktor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Ce procédé permettait de projeter son propre reflet tout en le fragmentant dans l’environnent de l’œuvre, notamment les rythmes colorés de Vasarely, afin de produire un va-et-vient entre les mondes réels et perçus. Les observateurs devaient alors changer de perspective pour résoudre cette incertitude et explorer le lien entre le monde réel et le monde perçu.</w:t>
      </w:r>
    </w:p>
    <w:bookmarkStart w:id="0" w:name="fig:Élasticité"/>
    <w:p>
      <w:pPr>
        <w:pStyle w:val="CaptionedFigure"/>
      </w:pPr>
      <w:bookmarkStart w:id="57" w:name="fig:Élasticité"/>
      <w:r>
        <w:drawing>
          <wp:inline>
            <wp:extent cx="5943600" cy="3343275"/>
            <wp:effectExtent b="0" l="0" r="0" t="0"/>
            <wp:docPr descr="Figure 4: Trame Élasticité (Etienne Rey, 2016), dans un hommage à Viktor Vasarely dans le cadre de la Fondation d’Aix-en-Provence en 2016." title="" id="55" name="Picture"/>
            <a:graphic>
              <a:graphicData uri="http://schemas.openxmlformats.org/drawingml/2006/picture">
                <pic:pic>
                  <pic:nvPicPr>
                    <pic:cNvPr descr="http://ondesparalleles.org/wp-content/uploads/2017/01/EtienneRey-TRAME-Vasarely-C.jpg" id="56"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bookmarkEnd w:id="57"/>
    </w:p>
    <w:p>
      <w:pPr>
        <w:pStyle w:val="ImageCaption"/>
      </w:pPr>
      <w:r>
        <w:t xml:space="preserve">Figure 4:</w:t>
      </w:r>
      <w:r>
        <w:t xml:space="preserve"> </w:t>
      </w:r>
      <w:r>
        <w:rPr>
          <w:bCs/>
          <w:b/>
        </w:rPr>
        <w:t xml:space="preserve">Trame Élasticité</w:t>
      </w:r>
      <w:r>
        <w:t xml:space="preserve"> </w:t>
      </w:r>
      <w:hyperlink r:id="rId58">
        <w:r>
          <w:rPr>
            <w:rStyle w:val="Hyperlink"/>
          </w:rPr>
          <w:t xml:space="preserve">(Etienne Rey, 2016)</w:t>
        </w:r>
      </w:hyperlink>
      <w:r>
        <w:t xml:space="preserve">, dans un hommage à Viktor Vasarely dans le cadre de la Fondation d’Aix-en-Provence en 2016.</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Viktor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2">
        <w:r>
          <w:rPr>
            <w:rStyle w:val="Hyperlink"/>
          </w:rPr>
          <w:t xml:space="preserve">« Les ambassadeurs »</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9"/>
    <w:bookmarkStart w:id="65"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parallèle toutes différentes hypothèses possibles de configuration des formes. Par exemple, au lieu de mesurer les caractéristiques d’une forme, comme l’orientation verticale d’une ligne, le cerveau représente toutes les orientations possibles d’une ligne. Cette représentation permet alors de représenter les différents niveaux de vraisemblance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n’ont pas de fovéa. Toutefois, une fovéa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3" w:name="fig:Tropique"/>
      <w:r>
        <w:drawing>
          <wp:inline>
            <wp:extent cx="5943600" cy="3343275"/>
            <wp:effectExtent b="0" l="0" r="0" t="0"/>
            <wp:docPr descr="Figure 5: Tropique (Etienne Rey, 2013) Capture de deux personnes plongées dans la sculpture formée par la projection de segments dynamique dans l’espace de l’installation." title="" id="61" name="Picture"/>
            <a:graphic>
              <a:graphicData uri="http://schemas.openxmlformats.org/drawingml/2006/picture">
                <pic:pic>
                  <pic:nvPicPr>
                    <pic:cNvPr descr="http://ondesparalleles.org/wp-content/uploads/2014/02/tropique_fiche_a.jpg" id="62"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Cs/>
          <w:b/>
        </w:rPr>
        <w:t xml:space="preserve">Tropique</w:t>
      </w:r>
      <w:r>
        <w:t xml:space="preserve"> </w:t>
      </w:r>
      <w:hyperlink r:id="rId64">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w:t>
      </w:r>
      <w:r>
        <w:t xml:space="preserve"> </w:t>
      </w:r>
      <w:r>
        <w:t xml:space="preserve">“</w:t>
      </w:r>
      <w:r>
        <w:t xml:space="preserve">Tropique</w:t>
      </w:r>
      <w:r>
        <w:t xml:space="preserve">”</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65"/>
    <w:bookmarkStart w:id="66" w:name="voir-a-t-il-un-sens"/>
    <w:p>
      <w:pPr>
        <w:pStyle w:val="Heading2"/>
      </w:pPr>
      <w:r>
        <w:t xml:space="preserve">Voir a t-il un sens ?</w:t>
      </w:r>
    </w:p>
    <w:p>
      <w:pPr>
        <w:pStyle w:val="FirstParagraph"/>
      </w:pPr>
      <w:r>
        <w:t xml:space="preserve">Pour conclure, Art et sciences questionnent ce rapport avec des outils différent, mais complémentaires et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jpg" /><Relationship Type="http://schemas.openxmlformats.org/officeDocument/2006/relationships/image" Id="rId54" Target="media/rId54.jpg" /><Relationship Type="http://schemas.openxmlformats.org/officeDocument/2006/relationships/image" Id="rId43" Target="media/rId43.jpg" /><Relationship Type="http://schemas.openxmlformats.org/officeDocument/2006/relationships/image" Id="rId49" Target="media/rId49.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4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5baab42594837fdb511679fab79f3cea61cc48cf" TargetMode="External" /><Relationship Type="http://schemas.openxmlformats.org/officeDocument/2006/relationships/hyperlink" Id="rId20" Target="https://laurentperrinet.github.io/2023-01-31_formes-et-perception/v/5baab42594837fdb511679fab79f3cea61cc48cf/"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4"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5baab42594837fdb511679fab79f3cea61cc48cf" TargetMode="External" /><Relationship Type="http://schemas.openxmlformats.org/officeDocument/2006/relationships/hyperlink" Id="rId20" Target="https://laurentperrinet.github.io/2023-01-31_formes-et-perception/v/5baab42594837fdb511679fab79f3cea61cc48cf/"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4"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2023-02-01T11:36:26Z</dcterms:created>
  <dcterms:modified xsi:type="dcterms:W3CDTF">2023-02-01T11:36:26Z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2023-02-01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