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0.jpg" ContentType="image/jpeg"/>
  <Override PartName="/word/media/rId54.jpg" ContentType="image/jpeg"/>
  <Override PartName="/word/media/rId43.jpg" ContentType="image/jpeg"/>
  <Override PartName="/word/media/rId49.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laurentperrinet/2023-01-31_formes-et-perception@ed24145</w:t>
        </w:r>
      </w:hyperlink>
      <w:r>
        <w:t xml:space="preserve"> </w:t>
      </w:r>
      <w:r>
        <w:t xml:space="preserve">on February 6,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bookmarkEnd w:id="36"/>
    <w:bookmarkStart w:id="37" w:name="résumé"/>
    <w:p>
      <w:pPr>
        <w:pStyle w:val="Heading2"/>
      </w:pPr>
      <w:r>
        <w:t xml:space="preserve">Résumé</w:t>
      </w:r>
    </w:p>
    <w:p>
      <w:pPr>
        <w:pStyle w:val="FirstParagraph"/>
      </w:pPr>
      <w:r>
        <w:t xml:space="preserve">Observer une œuvre d’art peut nous rendre conscients de la relation intime entre la réalité et la façon dont nous la percevons. Les récentes avancées en neurosciences nous permettent d’en apprendre davantage sur la compréhension du rôle de notre cerveau dans l’établissement de cette relation fondamentale.</w:t>
      </w:r>
    </w:p>
    <w:bookmarkEnd w:id="37"/>
    <w:bookmarkStart w:id="48"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la dynamique ou la couleur, pour finalement former une représentation neurale qui sera transmise au reste du cerveau par le nerf optique.</w:t>
      </w:r>
    </w:p>
    <w:bookmarkStart w:id="0" w:name="fig:Retinotopy"/>
    <w:p>
      <w:pPr>
        <w:pStyle w:val="CaptionedFigure"/>
      </w:pPr>
      <w:bookmarkStart w:id="41" w:name="fig:Retinotopy"/>
      <w:r>
        <w:drawing>
          <wp:inline>
            <wp:extent cx="5943600" cy="1311462"/>
            <wp:effectExtent b="0" l="0" r="0" t="0"/>
            <wp:docPr descr="Figure 1: Retinotopie. Une image (extraite du tableau « Les ambassadeurs » d’Hans Holbein le Jeune) peut être représentée sur une grille régulière représentée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al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311462"/>
                    </a:xfrm>
                    <a:prstGeom prst="rect">
                      <a:avLst/>
                    </a:prstGeom>
                    <a:noFill/>
                    <a:ln w="9525">
                      <a:noFill/>
                      <a:headEnd/>
                      <a:tailEnd/>
                    </a:ln>
                  </pic:spPr>
                </pic:pic>
              </a:graphicData>
            </a:graphic>
          </wp:inline>
        </w:drawing>
      </w:r>
      <w:bookmarkEnd w:id="41"/>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42">
        <w:r>
          <w:rPr>
            <w:rStyle w:val="Hyperlink"/>
          </w:rPr>
          <w:t xml:space="preserve">« Les ambassadeurs » d’Hans Holbein le Jeune</w:t>
        </w:r>
      </w:hyperlink>
      <w:r>
        <w:t xml:space="preserve">) peut être représentée sur une grille régulière représentée par des lignes verticales (en rouge) et horizontales (en bleu). La rétinotopie transforme cette grille, et en particulier la zone représentant la fovéa (en gris) occupe environ la moitié de l’espace transformé. Appliquée à l’image originale du portrait, l’image est fortement déformée et représente plus finalement les parties sous l’axe de vue (ici la bouche).</w:t>
      </w:r>
    </w:p>
    <w:bookmarkEnd w:id="0"/>
    <w:p>
      <w:pPr>
        <w:pStyle w:val="BodyText"/>
      </w:pPr>
      <w:r>
        <w:t xml:space="preserve">Il est remarquable de constater que cette représentation est fortement contrainte par l’anatomie de l’œil et de la rétine (Figure</w:t>
      </w:r>
      <w:r>
        <w:t xml:space="preserve"> </w:t>
      </w:r>
      <w:hyperlink w:anchor="fig:Retinotopy">
        <w:r>
          <w:rPr>
            <w:rStyle w:val="Hyperlink"/>
          </w:rPr>
          <w:t xml:space="preserve">1</w:t>
        </w:r>
      </w:hyperlink>
      <w:r>
        <w:t xml:space="preserve">). Par exemple, la densité de neurones est bien plus élevée autour du centre de l’axe visuel, où environ la moitié de notre acuité visuelle est concentrée.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notamment sur les aires visuelles situées sur sa surface, le cortex. Ces aires conservent un arrangement sensiblement similaire à celui de la rétine, et notamment,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 Le portrait est alors représenté comme l’activité neurale qui active des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6" w:name="fig:Trames"/>
      <w:r>
        <w:drawing>
          <wp:inline>
            <wp:extent cx="5943600" cy="3343275"/>
            <wp:effectExtent b="0" l="0" r="0" t="0"/>
            <wp:docPr descr="Figure 2: Trames Instabilité (Etienne Rey, 2018). Le projet est basé sur des principes d’occultations partielles en couches associées à des trames qui font émerger une dimension immatérielle et instable." title="" id="44" name="Picture"/>
            <a:graphic>
              <a:graphicData uri="http://schemas.openxmlformats.org/drawingml/2006/picture">
                <pic:pic>
                  <pic:nvPicPr>
                    <pic:cNvPr descr="https://ondesparalleles.org/wp-content/uploads/2020/01/B_2017-07-NBJ_ER_ADAGP.jpg" id="45" name="Picture"/>
                    <pic:cNvPicPr>
                      <a:picLocks noChangeArrowheads="1" noChangeAspect="1"/>
                    </pic:cNvPicPr>
                  </pic:nvPicPr>
                  <pic:blipFill>
                    <a:blip r:embed="rId43"/>
                    <a:stretch>
                      <a:fillRect/>
                    </a:stretch>
                  </pic:blipFill>
                  <pic:spPr bwMode="auto">
                    <a:xfrm>
                      <a:off x="0" y="0"/>
                      <a:ext cx="5943600" cy="3343275"/>
                    </a:xfrm>
                    <a:prstGeom prst="rect">
                      <a:avLst/>
                    </a:prstGeom>
                    <a:noFill/>
                    <a:ln w="9525">
                      <a:noFill/>
                      <a:headEnd/>
                      <a:tailEnd/>
                    </a:ln>
                  </pic:spPr>
                </pic:pic>
              </a:graphicData>
            </a:graphic>
          </wp:inline>
        </w:drawing>
      </w:r>
      <w:bookmarkEnd w:id="46"/>
    </w:p>
    <w:p>
      <w:pPr>
        <w:pStyle w:val="ImageCaption"/>
      </w:pPr>
      <w:r>
        <w:t xml:space="preserve">Figure 2:</w:t>
      </w:r>
      <w:r>
        <w:t xml:space="preserve"> </w:t>
      </w:r>
      <w:r>
        <w:rPr>
          <w:bCs/>
          <w:b/>
        </w:rPr>
        <w:t xml:space="preserve">Trames Instabilité</w:t>
      </w:r>
      <w:r>
        <w:t xml:space="preserve"> </w:t>
      </w:r>
      <w:hyperlink r:id="rId47">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L’œuvre « Trames Instabilité » (Figure</w:t>
      </w:r>
      <w:r>
        <w:t xml:space="preserve"> </w:t>
      </w:r>
      <w:hyperlink w:anchor="fig:Trames">
        <w:r>
          <w:rPr>
            <w:rStyle w:val="Hyperlink"/>
          </w:rPr>
          <w:t xml:space="preserve">2</w:t>
        </w:r>
      </w:hyperlink>
      <w:r>
        <w:t xml:space="preserve">) d’Etienne Rey montre comment les principes anatomiques de la formation de l’image sur la rétine peuvent être utilisés dans l’art. Il dispose des motifs élémentaires sur une grille hexagonale resserrée et rythmique. Une seconde grille est superposée en profondeur et crée un effet de moiré d’oscillation plus lente. Cette œuvre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en périphérie, suggérant une organisation en profondeur, mais cette perception disparaît dès qu’on veut la saisir, un mouvement oculaire tel qu’une saccade, ce qui invite à la remplacer par une autre.</w:t>
      </w:r>
    </w:p>
    <w:p>
      <w:pPr>
        <w:pStyle w:val="BodyText"/>
      </w:pPr>
      <w:r>
        <w:t xml:space="preserve">De ce résumé, on pourrait déduire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De concert, les phénomènes attentifs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8"/>
    <w:bookmarkStart w:id="59"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Densité"/>
    <w:p>
      <w:pPr>
        <w:pStyle w:val="CaptionedFigure"/>
      </w:pPr>
      <w:bookmarkStart w:id="52" w:name="fig:Densité"/>
      <w:r>
        <w:drawing>
          <wp:inline>
            <wp:extent cx="5943600" cy="3343275"/>
            <wp:effectExtent b="0" l="0" r="0" t="0"/>
            <wp:docPr descr="Figure 3: Densité – Flou (Etienne Rey, 2019). Des points placés au hasard sont reliés par triangulation, provoquant l’émergence de formes et volumes." title="" id="50" name="Picture"/>
            <a:graphic>
              <a:graphicData uri="http://schemas.openxmlformats.org/drawingml/2006/picture">
                <pic:pic>
                  <pic:nvPicPr>
                    <pic:cNvPr descr="https://ondesparalleles.org/wp-content/uploads/2020/02/E_FLOU-1.jpg" id="51"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bookmarkEnd w:id="52"/>
    </w:p>
    <w:p>
      <w:pPr>
        <w:pStyle w:val="ImageCaption"/>
      </w:pPr>
      <w:r>
        <w:t xml:space="preserve">Figure 3:</w:t>
      </w:r>
      <w:r>
        <w:t xml:space="preserve"> </w:t>
      </w:r>
      <w:r>
        <w:rPr>
          <w:bCs/>
          <w:b/>
        </w:rPr>
        <w:t xml:space="preserve">Densité – Flou</w:t>
      </w:r>
      <w:r>
        <w:t xml:space="preserve"> </w:t>
      </w:r>
      <w:hyperlink r:id="rId53">
        <w:r>
          <w:rPr>
            <w:rStyle w:val="Hyperlink"/>
          </w:rPr>
          <w:t xml:space="preserve">(Etienne Rey, 2019)</w:t>
        </w:r>
      </w:hyperlink>
      <w:r>
        <w:t xml:space="preserve">. Des points placés au hasard sont reliés par triangulation, provoquant l’émergence de formes et volumes.</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Densité – Flou », présentée à Avignon en 2019 (Figure</w:t>
      </w:r>
      <w:r>
        <w:t xml:space="preserve"> </w:t>
      </w:r>
      <w:hyperlink w:anchor="fig:Densité">
        <w:r>
          <w:rPr>
            <w:rStyle w:val="Hyperlink"/>
          </w:rPr>
          <w:t xml:space="preserve">3</w:t>
        </w:r>
      </w:hyperlink>
      <w:r>
        <w:t xml:space="preserve">), qui consistait en un ensemble de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Viktor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Ce procédé permettait de projeter son propre reflet tout en le fragmentant dans l’environnent de l’œuvre, notamment les rythmes colorés de Vasarely, afin de produire un va-et-vient entre les mondes réels et perçus. Les observateurs devaient alors changer de perspective pour résoudre cette incertitude et explorer le lien entre le monde réel et le monde perçu.</w:t>
      </w:r>
    </w:p>
    <w:bookmarkStart w:id="0" w:name="fig:Élasticité"/>
    <w:p>
      <w:pPr>
        <w:pStyle w:val="CaptionedFigure"/>
      </w:pPr>
      <w:bookmarkStart w:id="57" w:name="fig:Élasticité"/>
      <w:r>
        <w:drawing>
          <wp:inline>
            <wp:extent cx="5943600" cy="3343275"/>
            <wp:effectExtent b="0" l="0" r="0" t="0"/>
            <wp:docPr descr="Figure 4: Trame Élasticité (Etienne Rey, 2016), dans un hommage à Viktor Vasarely dans le cadre de la Fondation d’Aix-en-Provence en 2016." title="" id="55" name="Picture"/>
            <a:graphic>
              <a:graphicData uri="http://schemas.openxmlformats.org/drawingml/2006/picture">
                <pic:pic>
                  <pic:nvPicPr>
                    <pic:cNvPr descr="http://ondesparalleles.org/wp-content/uploads/2017/01/EtienneRey-TRAME-Vasarely-C.jpg" id="56"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bookmarkEnd w:id="57"/>
    </w:p>
    <w:p>
      <w:pPr>
        <w:pStyle w:val="ImageCaption"/>
      </w:pPr>
      <w:r>
        <w:t xml:space="preserve">Figure 4:</w:t>
      </w:r>
      <w:r>
        <w:t xml:space="preserve"> </w:t>
      </w:r>
      <w:r>
        <w:rPr>
          <w:bCs/>
          <w:b/>
        </w:rPr>
        <w:t xml:space="preserve">Trame Élasticité</w:t>
      </w:r>
      <w:r>
        <w:t xml:space="preserve"> </w:t>
      </w:r>
      <w:hyperlink r:id="rId58">
        <w:r>
          <w:rPr>
            <w:rStyle w:val="Hyperlink"/>
          </w:rPr>
          <w:t xml:space="preserve">(Etienne Rey, 2016)</w:t>
        </w:r>
      </w:hyperlink>
      <w:r>
        <w:t xml:space="preserve">, dans un hommage à Viktor Vasarely dans le cadre de la Fondation d’Aix-en-Provence en 2016.</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Viktor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42">
        <w:r>
          <w:rPr>
            <w:rStyle w:val="Hyperlink"/>
          </w:rPr>
          <w:t xml:space="preserve">« Les ambassadeurs »</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9"/>
    <w:bookmarkStart w:id="65"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parallèle toutes différentes hypothèses possibles de configuration des formes. Par exemple, au lieu de mesurer les caractéristiques d’une forme, comme l’orientation verticale d’une ligne, le cerveau représente toutes les orientations possibles d’une ligne. Cette représentation permet alors de représenter les différents niveaux de vraisemblance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n’ont pas de fovéa. Toutefois, une fovéa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63" w:name="fig:Tropique"/>
      <w:r>
        <w:drawing>
          <wp:inline>
            <wp:extent cx="5943600" cy="3343275"/>
            <wp:effectExtent b="0" l="0" r="0" t="0"/>
            <wp:docPr descr="Figure 5: Tropique (Etienne Rey, 2013) Capture de deux personnes plongées dans la sculpture formée par la projection de segments dynamique dans l’espace de l’installation." title="" id="61" name="Picture"/>
            <a:graphic>
              <a:graphicData uri="http://schemas.openxmlformats.org/drawingml/2006/picture">
                <pic:pic>
                  <pic:nvPicPr>
                    <pic:cNvPr descr="http://ondesparalleles.org/wp-content/uploads/2014/02/tropique_fiche_a.jpg" id="62" name="Picture"/>
                    <pic:cNvPicPr>
                      <a:picLocks noChangeArrowheads="1" noChangeAspect="1"/>
                    </pic:cNvPicPr>
                  </pic:nvPicPr>
                  <pic:blipFill>
                    <a:blip r:embed="rId60"/>
                    <a:stretch>
                      <a:fillRect/>
                    </a:stretch>
                  </pic:blipFill>
                  <pic:spPr bwMode="auto">
                    <a:xfrm>
                      <a:off x="0" y="0"/>
                      <a:ext cx="5943600" cy="3343275"/>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Cs/>
          <w:b/>
        </w:rPr>
        <w:t xml:space="preserve">Tropique</w:t>
      </w:r>
      <w:r>
        <w:t xml:space="preserve"> </w:t>
      </w:r>
      <w:hyperlink r:id="rId64">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w:t>
      </w:r>
      <w:r>
        <w:t xml:space="preserve"> </w:t>
      </w:r>
      <w:r>
        <w:t xml:space="preserve">“</w:t>
      </w:r>
      <w:r>
        <w:t xml:space="preserve">Tropique</w:t>
      </w:r>
      <w:r>
        <w:t xml:space="preserve">”</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65"/>
    <w:bookmarkStart w:id="66" w:name="voir-a-t-il-un-sens"/>
    <w:p>
      <w:pPr>
        <w:pStyle w:val="Heading2"/>
      </w:pPr>
      <w:r>
        <w:t xml:space="preserve">Voir a-t-il un sens ?</w:t>
      </w:r>
    </w:p>
    <w:p>
      <w:pPr>
        <w:pStyle w:val="FirstParagraph"/>
      </w:pPr>
      <w:r>
        <w:t xml:space="preserve">Pour conclure, Art et Sciences questionnent ce rapport avec des outils différent mais complémentaires. Ils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6"/>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0" Target="media/rId60.jpg" /><Relationship Type="http://schemas.openxmlformats.org/officeDocument/2006/relationships/image" Id="rId54" Target="media/rId54.jpg" /><Relationship Type="http://schemas.openxmlformats.org/officeDocument/2006/relationships/image" Id="rId43" Target="media/rId43.jpg" /><Relationship Type="http://schemas.openxmlformats.org/officeDocument/2006/relationships/image" Id="rId49" Target="media/rId49.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4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ed24145892bb9e928241d1ced432d773163a354d" TargetMode="External" /><Relationship Type="http://schemas.openxmlformats.org/officeDocument/2006/relationships/hyperlink" Id="rId20" Target="https://laurentperrinet.github.io/2023-01-31_formes-et-perception/v/ed24145892bb9e928241d1ced432d773163a354d/"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4"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ed24145892bb9e928241d1ced432d773163a354d" TargetMode="External" /><Relationship Type="http://schemas.openxmlformats.org/officeDocument/2006/relationships/hyperlink" Id="rId20" Target="https://laurentperrinet.github.io/2023-01-31_formes-et-perception/v/ed24145892bb9e928241d1ced432d773163a354d/"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4"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2023-02-06T14:07:04Z</dcterms:created>
  <dcterms:modified xsi:type="dcterms:W3CDTF">2023-02-06T14:07:04Z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2023-02-06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