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this sequence of independent processing steps, or</w:t>
      </w:r>
      <w:r>
        <w:t xml:space="preserve"> </w:t>
      </w:r>
      <w:r>
        <w:t xml:space="preserve">“</w:t>
      </w:r>
      <w:r>
        <w:t xml:space="preserve">pipeline</w:t>
      </w:r>
      <w:r>
        <w:t xml:space="preserve">”</w:t>
      </w:r>
      <w:r>
        <w:t xml:space="preserve">, is implemented by a feedforward process in the visual pathways, through the thalamus and then to the visual areas within the cerebral cortex. Such a model of vision is sufficient to explain the simple detection of the printed character you are currently looking at, and thus for the reading of a full sentence. Indeed, such an ability involves rapid and unconscious low-level processes. Importantly, such ability in humans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In contrast, models of vision as implemented in computers can learn complex categorization tasks on very precise datasets but are easily outperformed by an infant when it comes to a naturalistic, flexible and generic context. Going even further, human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efferent visual areas which help in forming a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the efficiency of vision.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inferred variance of its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like a translation or a rotation)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50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predictive processes as they unravel with the passage of time.</w:t>
      </w:r>
    </w:p>
    <w:p>
      <w:pPr>
        <w:pStyle w:val="BodyText"/>
      </w:pPr>
      <w:r>
        <w:t xml:space="preserve">To illustrate the challenge of representing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potentially modulated by neighboring cells. Such a notion of time is local to each neuron and its surrounding. As a consequence, the network’s dynamics is largely asynchronous, that is,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 the system as a whole. In that perspective, the FEP provides with an elegant solution.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the dynamics of internal beliefs and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 Rao and Ballard</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 reflex arc.</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addition,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04dc64db1d87711e56c59885d6b2d24c1eaeee7"/>
      <w:r>
        <w:t xml:space="preserve">2.2 Is there a neural implementation for Active Inference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AI in modeling such an agent is revealed by studying deviations from the typical behavior within a population of agents. For instance, there are acute differences in the smooth pursuit eye movements (SPEM) between patients from (control) neurotypic or schizophrenic groups. First, SPEM are distinct from the saccades defined above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As we saw in the introduction,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the human visuo-oculomotor system is to understand eye movements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active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extending the model compensating for delays</w:t>
      </w:r>
      <w:r>
        <w:t xml:space="preserve"> </w:t>
      </w:r>
      <w:r>
        <w:t xml:space="preserve">(Perrinet, Adams, and Friston 2014)</w:t>
      </w:r>
      <w:r>
        <w:t xml:space="preserve">, we define a model of predictive processing generalized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efficiently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r>
        <w:t xml:space="preserve"> </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V1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a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dynamically encode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(1) explain in a principled fashion much of gain-control mechanisms</w:t>
      </w:r>
      <w:r>
        <w:t xml:space="preserve"> </w:t>
      </w:r>
      <w:r>
        <w:t xml:space="preserve">(Heeger 2017)</w:t>
      </w:r>
      <w:r>
        <w:t xml:space="preserve"> </w:t>
      </w:r>
      <w:r>
        <w:t xml:space="preserve">and (2)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BodyText"/>
      </w:pPr>
      <w:r>
        <w:t xml:space="preserve">However, we still lack realistic models of such visual predictive processing. We have built a simplified model which is able to process static images</w:t>
      </w:r>
      <w:r>
        <w:t xml:space="preserve"> </w:t>
      </w:r>
      <w:r>
        <w:t xml:space="preserve">(Boutin et al. 2019)</w:t>
      </w:r>
      <w:r>
        <w:t xml:space="preserve">. It consists of a multi-layered neural network, where each layer includes both a recursive intra-cortical mechanism to generate sparse representations and also the ability for each layer to integrate (feedback) information from a higher-level layer. The main novelty of this network is that it allows for the unsupervised learning of the convolutional kernels within each layer. Compared to classical Convolutional Neural Networks such as commonly found in deep learning architectures, we found that the emerging kernels were more meaningful: For instance, when learning on a class of images from human faces, we observed in the second layer different neurons sensitive to face features such as eye, mouth or nose. This is similar to what is found in the fusiform face area, but more simulations are needed to validate the emergence of this representation. Moreover, these simulations are computationally intensive and prohibit their use on conventional computer architectures. A translation is this algorithm into a Spiking Neural Network would therefore be highly beneficial and allow for its application to a dynamical stream of images.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p>
    <w:p>
      <w:pPr>
        <w:pStyle w:val="BodyText"/>
      </w:pPr>
      <w:r>
        <w:t xml:space="preserve">Indeed, a normative theory for predictive processing should not only provide a possible solution (one given model with one set of hyper parameters) but with an exploration of</w:t>
      </w:r>
      <w:r>
        <w:t xml:space="preserve"> </w:t>
      </w:r>
      <w:r>
        <w:rPr>
          <w:i/>
        </w:rPr>
        <w:t xml:space="preserve">all possible solutions</w:t>
      </w:r>
      <w:r>
        <w:t xml:space="preserve">. One first methodology is to have a complete understanding of the set of models using mathematical analysis. However, this becomes impossible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hyper-parameters. In particular, it is yet not completely understood how SNNs perform a spike-time dependent plasticity. This sets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7"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outin19"/>
    <w:p>
      <w:pPr>
        <w:pStyle w:val="Bibliography"/>
      </w:pPr>
      <w:r>
        <w:t xml:space="preserve">Boutin, Victor, Angelo Franciosini, Franck Ruffier, and Laurent U Perrinet. 2019. “Meaningful Representations Emerge from Sparse Deep Predictive Coding.”</w:t>
      </w:r>
      <w:r>
        <w:t xml:space="preserve"> </w:t>
      </w:r>
      <w:r>
        <w:rPr>
          <w:i/>
        </w:rPr>
        <w:t xml:space="preserve">Submitted</w:t>
      </w:r>
      <w:r>
        <w:t xml:space="preserve">, February.</w:t>
      </w:r>
      <w:r>
        <w:t xml:space="preserve"> </w:t>
      </w:r>
      <w:hyperlink r:id="rId61">
        <w:r>
          <w:rPr>
            <w:rStyle w:val="Hyperlink"/>
          </w:rPr>
          <w:t xml:space="preserve">https://arxiv.org/abs/1902.07651</w:t>
        </w:r>
      </w:hyperlink>
      <w:r>
        <w:t xml:space="preserve">.</w:t>
      </w:r>
    </w:p>
    <w:bookmarkEnd w:id="62"/>
    <w:bookmarkStart w:id="64"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3">
        <w:r>
          <w:rPr>
            <w:rStyle w:val="Hyperlink"/>
          </w:rPr>
          <w:t xml:space="preserve">https://doi.org/10/gfvs6r</w:t>
        </w:r>
      </w:hyperlink>
      <w:r>
        <w:t xml:space="preserve">.</w:t>
      </w:r>
    </w:p>
    <w:bookmarkEnd w:id="64"/>
    <w:bookmarkStart w:id="66"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5">
        <w:r>
          <w:rPr>
            <w:rStyle w:val="Hyperlink"/>
          </w:rPr>
          <w:t xml:space="preserve">https://doi.org/10/b9shf4</w:t>
        </w:r>
      </w:hyperlink>
      <w:r>
        <w:t xml:space="preserve">.</w:t>
      </w:r>
    </w:p>
    <w:bookmarkEnd w:id="66"/>
    <w:bookmarkStart w:id="68"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7">
        <w:r>
          <w:rPr>
            <w:rStyle w:val="Hyperlink"/>
          </w:rPr>
          <w:t xml:space="preserve">https://doi.org/10.1080/03640210802035191</w:t>
        </w:r>
      </w:hyperlink>
      <w:r>
        <w:t xml:space="preserve">.</w:t>
      </w:r>
    </w:p>
    <w:bookmarkEnd w:id="68"/>
    <w:bookmarkStart w:id="70"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9">
        <w:r>
          <w:rPr>
            <w:rStyle w:val="Hyperlink"/>
          </w:rPr>
          <w:t xml:space="preserve">https://doi.org/10.1523/JNEUROSCI.2792-18.2019</w:t>
        </w:r>
      </w:hyperlink>
      <w:r>
        <w:t xml:space="preserve">.</w:t>
      </w:r>
    </w:p>
    <w:bookmarkEnd w:id="70"/>
    <w:bookmarkStart w:id="72"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71">
        <w:r>
          <w:rPr>
            <w:rStyle w:val="Hyperlink"/>
          </w:rPr>
          <w:t xml:space="preserve">https://doi.org/10.1167/18.11.14</w:t>
        </w:r>
      </w:hyperlink>
      <w:r>
        <w:t xml:space="preserve">.</w:t>
      </w:r>
    </w:p>
    <w:bookmarkEnd w:id="72"/>
    <w:bookmarkStart w:id="73"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3"/>
    <w:bookmarkStart w:id="75"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4">
        <w:r>
          <w:rPr>
            <w:rStyle w:val="Hyperlink"/>
          </w:rPr>
          <w:t xml:space="preserve">https://doi.org/10.1038/nrn2787</w:t>
        </w:r>
      </w:hyperlink>
      <w:r>
        <w:t xml:space="preserve">.</w:t>
      </w:r>
    </w:p>
    <w:bookmarkEnd w:id="75"/>
    <w:bookmarkStart w:id="77"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6">
        <w:r>
          <w:rPr>
            <w:rStyle w:val="Hyperlink"/>
          </w:rPr>
          <w:t xml:space="preserve">https://doi.org/10.3389/fpsyg.2012.00151</w:t>
        </w:r>
      </w:hyperlink>
      <w:r>
        <w:t xml:space="preserve">.</w:t>
      </w:r>
    </w:p>
    <w:bookmarkEnd w:id="77"/>
    <w:bookmarkStart w:id="79"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8">
        <w:r>
          <w:rPr>
            <w:rStyle w:val="Hyperlink"/>
          </w:rPr>
          <w:t xml:space="preserve">https://doi.org/10.1155/2010/621670</w:t>
        </w:r>
      </w:hyperlink>
      <w:r>
        <w:t xml:space="preserve">.</w:t>
      </w:r>
    </w:p>
    <w:bookmarkEnd w:id="79"/>
    <w:bookmarkStart w:id="80"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80"/>
    <w:bookmarkStart w:id="82"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81">
        <w:r>
          <w:rPr>
            <w:rStyle w:val="Hyperlink"/>
          </w:rPr>
          <w:t xml:space="preserve">https://doi.org/10/gdhvzr</w:t>
        </w:r>
      </w:hyperlink>
      <w:r>
        <w:t xml:space="preserve">.</w:t>
      </w:r>
    </w:p>
    <w:bookmarkEnd w:id="82"/>
    <w:bookmarkStart w:id="84"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3">
        <w:r>
          <w:rPr>
            <w:rStyle w:val="Hyperlink"/>
          </w:rPr>
          <w:t xml:space="preserve">https://doi.org/10/cgdwx9</w:t>
        </w:r>
      </w:hyperlink>
      <w:r>
        <w:t xml:space="preserve">.</w:t>
      </w:r>
    </w:p>
    <w:bookmarkEnd w:id="84"/>
    <w:bookmarkStart w:id="85"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5"/>
    <w:bookmarkStart w:id="87"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6">
        <w:r>
          <w:rPr>
            <w:rStyle w:val="Hyperlink"/>
          </w:rPr>
          <w:t xml:space="preserve">https://doi.org/10.1073/pnas.1619788114</w:t>
        </w:r>
      </w:hyperlink>
      <w:r>
        <w:t xml:space="preserve">.</w:t>
      </w:r>
    </w:p>
    <w:bookmarkEnd w:id="87"/>
    <w:bookmarkStart w:id="88"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8"/>
    <w:bookmarkStart w:id="90"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9">
        <w:r>
          <w:rPr>
            <w:rStyle w:val="Hyperlink"/>
          </w:rPr>
          <w:t xml:space="preserve">https://doi.org/10.1115/1.3662552</w:t>
        </w:r>
      </w:hyperlink>
      <w:r>
        <w:t xml:space="preserve">.</w:t>
      </w:r>
    </w:p>
    <w:bookmarkEnd w:id="90"/>
    <w:bookmarkStart w:id="92"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91">
        <w:r>
          <w:rPr>
            <w:rStyle w:val="Hyperlink"/>
          </w:rPr>
          <w:t xml:space="preserve">https://doi.org/10.3389/fncom.2013.00112</w:t>
        </w:r>
      </w:hyperlink>
      <w:r>
        <w:t xml:space="preserve">.</w:t>
      </w:r>
    </w:p>
    <w:bookmarkEnd w:id="92"/>
    <w:bookmarkStart w:id="93"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3"/>
    <w:bookmarkStart w:id="95"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4">
        <w:r>
          <w:rPr>
            <w:rStyle w:val="Hyperlink"/>
          </w:rPr>
          <w:t xml:space="preserve">https://doi.org/10/gft7b2</w:t>
        </w:r>
      </w:hyperlink>
      <w:r>
        <w:t xml:space="preserve">.</w:t>
      </w:r>
    </w:p>
    <w:bookmarkEnd w:id="95"/>
    <w:bookmarkStart w:id="97"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6">
        <w:r>
          <w:rPr>
            <w:rStyle w:val="Hyperlink"/>
          </w:rPr>
          <w:t xml:space="preserve">https://doi.org/10.1016/j.jphysparis.2013.08.001</w:t>
        </w:r>
      </w:hyperlink>
      <w:r>
        <w:t xml:space="preserve">.</w:t>
      </w:r>
    </w:p>
    <w:bookmarkEnd w:id="97"/>
    <w:bookmarkStart w:id="99"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8">
        <w:r>
          <w:rPr>
            <w:rStyle w:val="Hyperlink"/>
          </w:rPr>
          <w:t xml:space="preserve">https://doi.org/10.1371/journal.pcbi.1005068</w:t>
        </w:r>
      </w:hyperlink>
      <w:r>
        <w:t xml:space="preserve">.</w:t>
      </w:r>
    </w:p>
    <w:bookmarkEnd w:id="99"/>
    <w:bookmarkStart w:id="101"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100">
        <w:r>
          <w:rPr>
            <w:rStyle w:val="Hyperlink"/>
          </w:rPr>
          <w:t xml:space="preserve">https://doi.org/10.1016/j.visres.2005.10.002</w:t>
        </w:r>
      </w:hyperlink>
      <w:r>
        <w:t xml:space="preserve">.</w:t>
      </w:r>
    </w:p>
    <w:bookmarkEnd w:id="101"/>
    <w:bookmarkStart w:id="103"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2">
        <w:r>
          <w:rPr>
            <w:rStyle w:val="Hyperlink"/>
          </w:rPr>
          <w:t xml:space="preserve">https://doi.org/10.1016/j.tins.2004.10.007</w:t>
        </w:r>
      </w:hyperlink>
      <w:r>
        <w:t xml:space="preserve">.</w:t>
      </w:r>
    </w:p>
    <w:bookmarkEnd w:id="103"/>
    <w:bookmarkStart w:id="105"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4">
        <w:r>
          <w:rPr>
            <w:rStyle w:val="Hyperlink"/>
          </w:rPr>
          <w:t xml:space="preserve">https://doi.org/10.1167/14.5.10</w:t>
        </w:r>
      </w:hyperlink>
      <w:r>
        <w:t xml:space="preserve">.</w:t>
      </w:r>
    </w:p>
    <w:bookmarkEnd w:id="105"/>
    <w:bookmarkStart w:id="107"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6">
        <w:r>
          <w:rPr>
            <w:rStyle w:val="Hyperlink"/>
          </w:rPr>
          <w:t xml:space="preserve">https://doi.org/10.3389/fncir.2016.00037</w:t>
        </w:r>
      </w:hyperlink>
      <w:r>
        <w:t xml:space="preserve">.</w:t>
      </w:r>
    </w:p>
    <w:bookmarkEnd w:id="107"/>
    <w:bookmarkStart w:id="109"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8">
        <w:r>
          <w:rPr>
            <w:rStyle w:val="Hyperlink"/>
          </w:rPr>
          <w:t xml:space="preserve">https://doi.org/10.1109/TPAMI.2016.2574707</w:t>
        </w:r>
      </w:hyperlink>
      <w:r>
        <w:t xml:space="preserve">.</w:t>
      </w:r>
    </w:p>
    <w:bookmarkEnd w:id="109"/>
    <w:bookmarkStart w:id="111"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10">
        <w:r>
          <w:rPr>
            <w:rStyle w:val="Hyperlink"/>
          </w:rPr>
          <w:t xml:space="preserve">https://doi.org/10/ccv3w2</w:t>
        </w:r>
      </w:hyperlink>
      <w:r>
        <w:t xml:space="preserve">.</w:t>
      </w:r>
    </w:p>
    <w:bookmarkEnd w:id="111"/>
    <w:bookmarkStart w:id="112"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2"/>
    <w:bookmarkStart w:id="114"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3">
        <w:r>
          <w:rPr>
            <w:rStyle w:val="Hyperlink"/>
          </w:rPr>
          <w:t xml:space="preserve">https://doi.org/10.1038/181507a0</w:t>
        </w:r>
      </w:hyperlink>
      <w:r>
        <w:t xml:space="preserve">.</w:t>
      </w:r>
    </w:p>
    <w:bookmarkEnd w:id="114"/>
    <w:bookmarkStart w:id="116"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5">
        <w:r>
          <w:rPr>
            <w:rStyle w:val="Hyperlink"/>
          </w:rPr>
          <w:t xml:space="preserve">https://doi.org/10.1073/PNAS.1218972110</w:t>
        </w:r>
      </w:hyperlink>
      <w:r>
        <w:t xml:space="preserve">.</w:t>
      </w:r>
    </w:p>
    <w:bookmarkEnd w:id="116"/>
    <w:bookmarkStart w:id="118"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7">
        <w:r>
          <w:rPr>
            <w:rStyle w:val="Hyperlink"/>
          </w:rPr>
          <w:t xml:space="preserve">http://www.worldcat.org/isbn/0716715678</w:t>
        </w:r>
      </w:hyperlink>
      <w:r>
        <w:t xml:space="preserve">.</w:t>
      </w:r>
    </w:p>
    <w:bookmarkEnd w:id="118"/>
    <w:bookmarkStart w:id="120"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9">
        <w:r>
          <w:rPr>
            <w:rStyle w:val="Hyperlink"/>
          </w:rPr>
          <w:t xml:space="preserve">https://doi.org/10.1371/journal.pone.0190429</w:t>
        </w:r>
      </w:hyperlink>
      <w:r>
        <w:t xml:space="preserve">.</w:t>
      </w:r>
    </w:p>
    <w:bookmarkEnd w:id="120"/>
    <w:bookmarkStart w:id="122"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21">
        <w:r>
          <w:rPr>
            <w:rStyle w:val="Hyperlink"/>
          </w:rPr>
          <w:t xml:space="preserve">https://doi.org/10.1038/nrn.2018.20</w:t>
        </w:r>
      </w:hyperlink>
      <w:r>
        <w:t xml:space="preserve">.</w:t>
      </w:r>
    </w:p>
    <w:bookmarkEnd w:id="122"/>
    <w:bookmarkStart w:id="124"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3">
        <w:r>
          <w:rPr>
            <w:rStyle w:val="Hyperlink"/>
          </w:rPr>
          <w:t xml:space="preserve">https://doi.org/10.1016/s1364-6613(02)01963-0</w:t>
        </w:r>
      </w:hyperlink>
      <w:r>
        <w:t xml:space="preserve">.</w:t>
      </w:r>
    </w:p>
    <w:bookmarkEnd w:id="124"/>
    <w:bookmarkStart w:id="126"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5">
        <w:r>
          <w:rPr>
            <w:rStyle w:val="Hyperlink"/>
          </w:rPr>
          <w:t xml:space="preserve">https://doi.org/10.1098/rsta.2008.0270</w:t>
        </w:r>
      </w:hyperlink>
      <w:r>
        <w:t xml:space="preserve">.</w:t>
      </w:r>
    </w:p>
    <w:bookmarkEnd w:id="126"/>
    <w:bookmarkStart w:id="128"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7">
        <w:r>
          <w:rPr>
            <w:rStyle w:val="Hyperlink"/>
          </w:rPr>
          <w:t xml:space="preserve">https://doi.org/10.3389/fnins.2013.00178</w:t>
        </w:r>
      </w:hyperlink>
      <w:r>
        <w:t xml:space="preserve">.</w:t>
      </w:r>
    </w:p>
    <w:bookmarkEnd w:id="128"/>
    <w:bookmarkStart w:id="129"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9"/>
    <w:bookmarkStart w:id="130"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30"/>
    <w:bookmarkStart w:id="132"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31">
        <w:r>
          <w:rPr>
            <w:rStyle w:val="Hyperlink"/>
          </w:rPr>
          <w:t xml:space="preserve">https://doi.org/10.1016/s0925-2312(02)00374-0</w:t>
        </w:r>
      </w:hyperlink>
      <w:r>
        <w:t xml:space="preserve">.</w:t>
      </w:r>
    </w:p>
    <w:bookmarkEnd w:id="132"/>
    <w:bookmarkStart w:id="134"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3">
        <w:r>
          <w:rPr>
            <w:rStyle w:val="Hyperlink"/>
          </w:rPr>
          <w:t xml:space="preserve">https://doi.org/10.1162/neco.2010.05-08-795</w:t>
        </w:r>
      </w:hyperlink>
      <w:r>
        <w:t xml:space="preserve">.</w:t>
      </w:r>
    </w:p>
    <w:bookmarkEnd w:id="134"/>
    <w:bookmarkStart w:id="136"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5">
        <w:r>
          <w:rPr>
            <w:rStyle w:val="Hyperlink"/>
          </w:rPr>
          <w:t xml:space="preserve">http://onlinelibrary.wiley.com/doi/10.1002/9783527680863.ch14/summary</w:t>
        </w:r>
      </w:hyperlink>
      <w:r>
        <w:t xml:space="preserve">.</w:t>
      </w:r>
    </w:p>
    <w:bookmarkEnd w:id="136"/>
    <w:bookmarkStart w:id="138"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7">
        <w:r>
          <w:rPr>
            <w:rStyle w:val="Hyperlink"/>
          </w:rPr>
          <w:t xml:space="preserve">https://doi.org/10.1007/s00422-014-0620-8</w:t>
        </w:r>
      </w:hyperlink>
      <w:r>
        <w:t xml:space="preserve">.</w:t>
      </w:r>
    </w:p>
    <w:bookmarkEnd w:id="138"/>
    <w:bookmarkStart w:id="139"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9"/>
    <w:bookmarkStart w:id="141"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40">
        <w:r>
          <w:rPr>
            <w:rStyle w:val="Hyperlink"/>
          </w:rPr>
          <w:t xml:space="preserve">https://doi.org/10.1038/4580</w:t>
        </w:r>
      </w:hyperlink>
      <w:r>
        <w:t xml:space="preserve">.</w:t>
      </w:r>
    </w:p>
    <w:bookmarkEnd w:id="141"/>
    <w:bookmarkStart w:id="143"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2">
        <w:r>
          <w:rPr>
            <w:rStyle w:val="Hyperlink"/>
          </w:rPr>
          <w:t xml:space="preserve">https://doi.org/10.1038/s41598-018-36861-8</w:t>
        </w:r>
      </w:hyperlink>
      <w:r>
        <w:t xml:space="preserve">.</w:t>
      </w:r>
    </w:p>
    <w:bookmarkEnd w:id="143"/>
    <w:bookmarkStart w:id="145"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4">
        <w:r>
          <w:rPr>
            <w:rStyle w:val="Hyperlink"/>
          </w:rPr>
          <w:t xml:space="preserve">https://doi.org/doi:10.1038/nn.3229</w:t>
        </w:r>
      </w:hyperlink>
      <w:r>
        <w:t xml:space="preserve">.</w:t>
      </w:r>
    </w:p>
    <w:bookmarkEnd w:id="145"/>
    <w:bookmarkStart w:id="147" w:name="ref-SPM12"/>
    <w:p>
      <w:pPr>
        <w:pStyle w:val="Bibliography"/>
      </w:pPr>
      <w:r>
        <w:rPr>
          <w:i/>
        </w:rPr>
        <w:t xml:space="preserve">Statistical Parametric Mapping: The Analysis of Functional Brain Images - 1st Edition</w:t>
      </w:r>
      <w:r>
        <w:t xml:space="preserve">. 2012.</w:t>
      </w:r>
      <w:r>
        <w:t xml:space="preserve"> </w:t>
      </w:r>
      <w:hyperlink r:id="rId146">
        <w:r>
          <w:rPr>
            <w:rStyle w:val="Hyperlink"/>
          </w:rPr>
          <w:t xml:space="preserve">https://www.elsevier.com/books/statistical-parametric-mapping-the-analysis-of-functional-brain-images/penny/978-0-12-372560-8</w:t>
        </w:r>
      </w:hyperlink>
      <w:r>
        <w:t xml:space="preserve">.</w:t>
      </w:r>
    </w:p>
    <w:bookmarkEnd w:id="147"/>
    <w:bookmarkStart w:id="149"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8">
        <w:r>
          <w:rPr>
            <w:rStyle w:val="Hyperlink"/>
          </w:rPr>
          <w:t xml:space="preserve">http://arxiv.org/abs/1811.03251</w:t>
        </w:r>
      </w:hyperlink>
      <w:r>
        <w:t xml:space="preserve">.</w:t>
      </w:r>
    </w:p>
    <w:bookmarkEnd w:id="149"/>
    <w:bookmarkStart w:id="151"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50">
        <w:r>
          <w:rPr>
            <w:rStyle w:val="Hyperlink"/>
          </w:rPr>
          <w:t xml:space="preserve">https://doi.org/10/gft5mn</w:t>
        </w:r>
      </w:hyperlink>
      <w:r>
        <w:t xml:space="preserve">.</w:t>
      </w:r>
    </w:p>
    <w:bookmarkEnd w:id="151"/>
    <w:bookmarkStart w:id="153" w:name="ref-Varoquaux19"/>
    <w:p>
      <w:pPr>
        <w:pStyle w:val="Bibliography"/>
      </w:pPr>
      <w:r>
        <w:t xml:space="preserve">Varoquaux, Gaël, and Russell Poldrack. 2019. “Predictive Models Avoid Excessive Reductionism in Cognitive Neuroimaging,” 6.</w:t>
      </w:r>
      <w:r>
        <w:t xml:space="preserve"> </w:t>
      </w:r>
      <w:hyperlink r:id="rId152">
        <w:r>
          <w:rPr>
            <w:rStyle w:val="Hyperlink"/>
          </w:rPr>
          <w:t xml:space="preserve">https://doi.org/10.1016/j.conb.2018.11.002</w:t>
        </w:r>
      </w:hyperlink>
      <w:r>
        <w:t xml:space="preserve">.</w:t>
      </w:r>
    </w:p>
    <w:bookmarkEnd w:id="153"/>
    <w:bookmarkStart w:id="154" w:name="ref-Vinje02"/>
    <w:p>
      <w:pPr>
        <w:pStyle w:val="Bibliography"/>
      </w:pPr>
      <w:r>
        <w:t xml:space="preserve">Vinje, William E, and Jack L Gallant. 2002. “Natural Stimulation of the Nonclassical Receptive Field Increases Information Transmission Efficiency in V1.”</w:t>
      </w:r>
    </w:p>
    <w:bookmarkEnd w:id="154"/>
    <w:bookmarkStart w:id="155"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5"/>
    <w:bookmarkStart w:id="156"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2019-08-12T19:57:25Z</dcterms:created>
  <dcterms:modified xsi:type="dcterms:W3CDTF">2019-08-12T19:57:25Z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