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this</w:t>
      </w:r>
      <w:r>
        <w:t xml:space="preserve"> </w:t>
      </w:r>
      <w:r>
        <w:t xml:space="preserve">“</w:t>
      </w:r>
      <w:r>
        <w:t xml:space="preserve">pipeline</w:t>
      </w:r>
      <w:r>
        <w:t xml:space="preserve">”</w:t>
      </w:r>
      <w:r>
        <w:t xml:space="preserve">, that is, this sequence of independent processing steps, is implemented by a strictly feedforward process in the visual pathways, through the thalamus and then to the visual areas within the cerebral cortex. Indeed, vision allows for the simple detection of the printed character you are currently looking at, and thus for the reading of this sentence. This ability involves rapid and unconscious low-level processes. Importantly, such processes are also largely immune to changes in luminance (like a shadow on this page) or to geometrical deformations, such as when reading a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https://fr.m.wikipedia.org/wiki/CAPTCHA</w:t>
        </w:r>
      </w:hyperlink>
      <w:r>
        <w:t xml:space="preserve">. On the othert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r>
        <w:t xml:space="preserve"> </w:t>
      </w: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with that is inferred),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21" Target="CAPTCHAs" TargetMode="External"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21" Target="CAPTCHAs" TargetMode="External"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2019-04-09T09:22:58Z</dcterms:created>
  <dcterms:modified xsi:type="dcterms:W3CDTF">2019-04-09T09:22:58Z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