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svg" ContentType="image/svg+xml"/>
  <Override PartName="/word/media/rId2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retinal input to some higher-level representation. It is often thought that such</w:t>
      </w:r>
      <w:r>
        <w:t xml:space="preserve"> </w:t>
      </w:r>
      <w:r>
        <w:t xml:space="preserve">“</w:t>
      </w:r>
      <w:r>
        <w:t xml:space="preserve">pipeline</w:t>
      </w:r>
      <w:r>
        <w:t xml:space="preserve">”</w:t>
      </w:r>
      <w:r>
        <w:t xml:space="preserve">, that is, this sequence of independent processing steps, is implemented by a strictly feedforward process in the visual pathways, through the thalamus and then to the visual areas within the cerebral cortex. Indeed, vision allows for the simple detection of the printed character you are currently looking at, and thus for the reading of this sentence. Such an ability involves rapid and unconscious low-level processes. Importantly, such ability is also largely immune to changes in luminance (like a shadow on this page) or to geometrical deformations, such as when reading a text from a slanted perspective. More generally, vision will correctly complete the image of a word with missing letters or with ambiguous or incorrect detections due to an overlapping clutter. Such a robustness is characteristic of biological systems, hence it’s use as a Turing Test for security algorithms such as</w:t>
      </w:r>
      <w:r>
        <w:t xml:space="preserve"> </w:t>
      </w:r>
      <w:hyperlink r:id="rId21">
        <w:r>
          <w:rPr>
            <w:rStyle w:val="Hyperlink"/>
          </w:rPr>
          <w:t xml:space="preserve">https://fr.m.wikipedia.org/wiki/CAPTCHA</w:t>
        </w:r>
      </w:hyperlink>
      <w:r>
        <w:t xml:space="preserve">. On the other hand, models of vision as implemented in computers can learn complex categorization tasks on very precise datasets but are easily outperformed by an infant when it comes to a naturalistic, flexible and generic context. Going even further,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Vision is thus a highly complex process, yet, it is still not completely understood.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vision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w:t>
      </w:r>
      <w:r>
        <w:t xml:space="preserve"> </w:t>
      </w:r>
      <w:r>
        <w:rPr>
          <w:i/>
        </w:rPr>
        <w:t xml:space="preserve">predicts</w:t>
      </w:r>
      <w:r>
        <w:t xml:space="preserve"> </w:t>
      </w:r>
      <w:r>
        <w:t xml:space="preserve">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vision as predictive processing. Such an approach takes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of its inferred value),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Furthermore, visual representations should handle geometrical transformations (such as the motion of a visual object) but also sensory modifications, such as with eye movements.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2" w:name="sec:AI"/>
      <w:r>
        <w:t xml:space="preserve">2 Active Inference and the</w:t>
      </w:r>
      <w:r>
        <w:t xml:space="preserve"> </w:t>
      </w:r>
      <w:r>
        <w:t xml:space="preserve">“</w:t>
      </w:r>
      <w:r>
        <w:t xml:space="preserve">optimality</w:t>
      </w:r>
      <w:r>
        <w:t xml:space="preserve">”</w:t>
      </w:r>
      <w:r>
        <w:t xml:space="preserve"> </w:t>
      </w:r>
      <w:r>
        <w:t xml:space="preserve">of vision</w:t>
      </w:r>
      <w:bookmarkEnd w:id="22"/>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3" w:name="X0aa7b88db302fd7191aadf78dd88ba2e4078ef4"/>
      <w:r>
        <w:t xml:space="preserve">2.1 Perceptions as hypotheses, Actions as experiments</w:t>
      </w:r>
      <w:bookmarkEnd w:id="23"/>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4" w:name="X44679e2555b5e67330feca98f5c75257b439e76"/>
      <w:r>
        <w:t xml:space="preserve">2.2 Is there a neural implementation for AI?</w:t>
      </w:r>
      <w:bookmarkEnd w:id="24"/>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5" w:name="X7c489c5e83d7898f45ab81f17149a196f22eeb3"/>
      <w:r>
        <w:t xml:space="preserve">2.3 Introducing delays in AI: dynamics of predictive processing</w:t>
      </w:r>
      <w:bookmarkEnd w:id="25"/>
    </w:p>
    <w:p>
      <w:pPr>
        <w:pStyle w:val="CaptionedFigure"/>
      </w:pPr>
      <w:bookmarkStart w:id="27"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6"/>
                    <a:stretch>
                      <a:fillRect/>
                    </a:stretch>
                  </pic:blipFill>
                  <pic:spPr bwMode="auto">
                    <a:xfrm>
                      <a:off x="0" y="0"/>
                      <a:ext cx="5334000" cy="2846056"/>
                    </a:xfrm>
                    <a:prstGeom prst="rect">
                      <a:avLst/>
                    </a:prstGeom>
                    <a:noFill/>
                    <a:ln w="9525">
                      <a:noFill/>
                      <a:headEnd/>
                      <a:tailEnd/>
                    </a:ln>
                  </pic:spPr>
                </pic:pic>
              </a:graphicData>
            </a:graphic>
          </wp:inline>
        </w:drawing>
      </w:r>
      <w:bookmarkEnd w:id="27"/>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8">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9" w:name="sec:summary"/>
      <w:r>
        <w:t xml:space="preserve">2.4 Summary</w:t>
      </w:r>
      <w:bookmarkEnd w:id="29"/>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30" w:name="sec:maps"/>
      <w:r>
        <w:t xml:space="preserve">3 Predictive processing on visual maps</w:t>
      </w:r>
      <w:bookmarkEnd w:id="30"/>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1" w:name="X9f2c15c6653427e2895e177968f245e762d6363"/>
      <w:r>
        <w:t xml:space="preserve">3.1 The flash-lag effect as evidence for predictive processing in topographic maps</w:t>
      </w:r>
      <w:bookmarkEnd w:id="31"/>
    </w:p>
    <w:p>
      <w:pPr>
        <w:pStyle w:val="CaptionedFigure"/>
      </w:pPr>
      <w:bookmarkStart w:id="33"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2"/>
                    <a:stretch>
                      <a:fillRect/>
                    </a:stretch>
                  </pic:blipFill>
                  <pic:spPr bwMode="auto">
                    <a:xfrm>
                      <a:off x="0" y="0"/>
                      <a:ext cx="5334000" cy="2846056"/>
                    </a:xfrm>
                    <a:prstGeom prst="rect">
                      <a:avLst/>
                    </a:prstGeom>
                    <a:noFill/>
                    <a:ln w="9525">
                      <a:noFill/>
                      <a:headEnd/>
                      <a:tailEnd/>
                    </a:ln>
                  </pic:spPr>
                </pic:pic>
              </a:graphicData>
            </a:graphic>
          </wp:inline>
        </w:drawing>
      </w:r>
      <w:bookmarkEnd w:id="33"/>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4">
        <w:r>
          <w:rPr>
            <w:rStyle w:val="Hyperlink"/>
          </w:rPr>
          <w:t xml:space="preserve">Creative Commons Attribution License</w:t>
        </w:r>
      </w:hyperlink>
      <w:r>
        <w:t xml:space="preserve">, © The Authors 2017.)</w:t>
      </w:r>
    </w:p>
    <w:p>
      <w:pPr>
        <w:pStyle w:val="BodyText"/>
      </w:pPr>
      <w:r>
        <w:t xml:space="preserve">The</w:t>
      </w:r>
      <w:r>
        <w:t xml:space="preserve"> </w:t>
      </w:r>
      <w:hyperlink r:id="rId35">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6">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7" w:name="sec:neural-correlate-of-apparent-motion"/>
      <w:r>
        <w:t xml:space="preserve">3.2 Neural correlate of apparent motion</w:t>
      </w:r>
      <w:bookmarkEnd w:id="37"/>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8">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9" w:name="sec:summary-1"/>
      <w:r>
        <w:t xml:space="preserve">3.3 Summary</w:t>
      </w:r>
      <w:bookmarkEnd w:id="39"/>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40" w:name="sec:spikes"/>
      <w:r>
        <w:t xml:space="preserve">4 Open problems in the science of visual predictive processing</w:t>
      </w:r>
      <w:bookmarkEnd w:id="40"/>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1" w:name="Xd2e2cb4a6996cd11ea9fe8ad412405cdf01a072"/>
      <w:r>
        <w:t xml:space="preserve">4.1 The challenges of representing visual information in Spiking Neural Networks (SNNs)</w:t>
      </w:r>
      <w:bookmarkEnd w:id="41"/>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2" w:name="Xe248d096af5155b27cdf523b098735bd9d9fe83"/>
      <w:r>
        <w:t xml:space="preserve">4.2 The role of cortical waves in shaping the dynamic processing of visual information</w:t>
      </w:r>
      <w:bookmarkEnd w:id="42"/>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3" w:name="Xece599dee65c7b28710591e61cfe1204dbda8af"/>
      <w:r>
        <w:t xml:space="preserve">4.3 Integrative properties of cortical areas: toward sparse, efficient representations</w:t>
      </w:r>
      <w:bookmarkEnd w:id="43"/>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4" w:name="sec:summary-and-conclusions"/>
      <w:r>
        <w:t xml:space="preserve">5 Summary and conclusions</w:t>
      </w:r>
      <w:bookmarkEnd w:id="44"/>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5" w:name="sec:acknowledgments"/>
      <w:r>
        <w:t xml:space="preserve">5.1 Acknowledgments</w:t>
      </w:r>
      <w:bookmarkEnd w:id="45"/>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6" w:name="sec:references"/>
      <w:r>
        <w:t xml:space="preserve">6 References</w:t>
      </w:r>
      <w:bookmarkEnd w:id="46"/>
    </w:p>
    <w:bookmarkStart w:id="155" w:name="refs"/>
    <w:bookmarkStart w:id="48"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7">
        <w:r>
          <w:rPr>
            <w:rStyle w:val="Hyperlink"/>
          </w:rPr>
          <w:t xml:space="preserve">https://doi.org/10.1371/journal.pone.0047502</w:t>
        </w:r>
      </w:hyperlink>
      <w:r>
        <w:t xml:space="preserve">.</w:t>
      </w:r>
    </w:p>
    <w:bookmarkEnd w:id="48"/>
    <w:bookmarkStart w:id="49"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9"/>
    <w:bookmarkStart w:id="51"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50">
        <w:r>
          <w:rPr>
            <w:rStyle w:val="Hyperlink"/>
          </w:rPr>
          <w:t xml:space="preserve">http://view.ncbi.nlm.nih.gov/pubmed/13167245</w:t>
        </w:r>
      </w:hyperlink>
      <w:r>
        <w:t xml:space="preserve">.</w:t>
      </w:r>
    </w:p>
    <w:bookmarkEnd w:id="51"/>
    <w:bookmarkStart w:id="53"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2">
        <w:r>
          <w:rPr>
            <w:rStyle w:val="Hyperlink"/>
          </w:rPr>
          <w:t xml:space="preserve">https://doi.org/10.1152/jn.00369.2005</w:t>
        </w:r>
      </w:hyperlink>
      <w:r>
        <w:t xml:space="preserve">.</w:t>
      </w:r>
    </w:p>
    <w:bookmarkEnd w:id="53"/>
    <w:bookmarkStart w:id="54"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4"/>
    <w:bookmarkStart w:id="56"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5">
        <w:r>
          <w:rPr>
            <w:rStyle w:val="Hyperlink"/>
          </w:rPr>
          <w:t xml:space="preserve">http://www.ncbi.nlm.nih.gov/pmc/articles/PMC1180117/</w:t>
        </w:r>
      </w:hyperlink>
      <w:r>
        <w:t xml:space="preserve">.</w:t>
      </w:r>
    </w:p>
    <w:bookmarkEnd w:id="56"/>
    <w:bookmarkStart w:id="58"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7">
        <w:r>
          <w:rPr>
            <w:rStyle w:val="Hyperlink"/>
          </w:rPr>
          <w:t xml:space="preserve">https://doi.org/10/f4gsgg</w:t>
        </w:r>
      </w:hyperlink>
      <w:r>
        <w:t xml:space="preserve">.</w:t>
      </w:r>
    </w:p>
    <w:bookmarkEnd w:id="58"/>
    <w:bookmarkStart w:id="60"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9">
        <w:r>
          <w:rPr>
            <w:rStyle w:val="Hyperlink"/>
          </w:rPr>
          <w:t xml:space="preserve">https://doi.org/10.3389/fncir.2013.00206</w:t>
        </w:r>
      </w:hyperlink>
      <w:r>
        <w:t xml:space="preserve">.</w:t>
      </w:r>
    </w:p>
    <w:bookmarkEnd w:id="60"/>
    <w:bookmarkStart w:id="62"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1">
        <w:r>
          <w:rPr>
            <w:rStyle w:val="Hyperlink"/>
          </w:rPr>
          <w:t xml:space="preserve">https://doi.org/10/gfvs6r</w:t>
        </w:r>
      </w:hyperlink>
      <w:r>
        <w:t xml:space="preserve">.</w:t>
      </w:r>
    </w:p>
    <w:bookmarkEnd w:id="62"/>
    <w:bookmarkStart w:id="64"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3">
        <w:r>
          <w:rPr>
            <w:rStyle w:val="Hyperlink"/>
          </w:rPr>
          <w:t xml:space="preserve">https://doi.org/10/b9shf4</w:t>
        </w:r>
      </w:hyperlink>
      <w:r>
        <w:t xml:space="preserve">.</w:t>
      </w:r>
    </w:p>
    <w:bookmarkEnd w:id="64"/>
    <w:bookmarkStart w:id="66"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5">
        <w:r>
          <w:rPr>
            <w:rStyle w:val="Hyperlink"/>
          </w:rPr>
          <w:t xml:space="preserve">https://doi.org/10.1080/03640210802035191</w:t>
        </w:r>
      </w:hyperlink>
      <w:r>
        <w:t xml:space="preserve">.</w:t>
      </w:r>
    </w:p>
    <w:bookmarkEnd w:id="66"/>
    <w:bookmarkStart w:id="68"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7">
        <w:r>
          <w:rPr>
            <w:rStyle w:val="Hyperlink"/>
          </w:rPr>
          <w:t xml:space="preserve">https://doi.org/10.1523/JNEUROSCI.2792-18.2019</w:t>
        </w:r>
      </w:hyperlink>
      <w:r>
        <w:t xml:space="preserve">.</w:t>
      </w:r>
    </w:p>
    <w:bookmarkEnd w:id="68"/>
    <w:bookmarkStart w:id="70"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9">
        <w:r>
          <w:rPr>
            <w:rStyle w:val="Hyperlink"/>
          </w:rPr>
          <w:t xml:space="preserve">https://doi.org/10.1167/18.11.14</w:t>
        </w:r>
      </w:hyperlink>
      <w:r>
        <w:t xml:space="preserve">.</w:t>
      </w:r>
    </w:p>
    <w:bookmarkEnd w:id="70"/>
    <w:bookmarkStart w:id="71"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1"/>
    <w:bookmarkStart w:id="73"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2">
        <w:r>
          <w:rPr>
            <w:rStyle w:val="Hyperlink"/>
          </w:rPr>
          <w:t xml:space="preserve">https://doi.org/10.1038/nrn2787</w:t>
        </w:r>
      </w:hyperlink>
      <w:r>
        <w:t xml:space="preserve">.</w:t>
      </w:r>
    </w:p>
    <w:bookmarkEnd w:id="73"/>
    <w:bookmarkStart w:id="75"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4">
        <w:r>
          <w:rPr>
            <w:rStyle w:val="Hyperlink"/>
          </w:rPr>
          <w:t xml:space="preserve">https://doi.org/10.3389/fpsyg.2012.00151</w:t>
        </w:r>
      </w:hyperlink>
      <w:r>
        <w:t xml:space="preserve">.</w:t>
      </w:r>
    </w:p>
    <w:bookmarkEnd w:id="75"/>
    <w:bookmarkStart w:id="77"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6">
        <w:r>
          <w:rPr>
            <w:rStyle w:val="Hyperlink"/>
          </w:rPr>
          <w:t xml:space="preserve">https://doi.org/10.1155/2010/621670</w:t>
        </w:r>
      </w:hyperlink>
      <w:r>
        <w:t xml:space="preserve">.</w:t>
      </w:r>
    </w:p>
    <w:bookmarkEnd w:id="77"/>
    <w:bookmarkStart w:id="78"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9">
        <w:r>
          <w:rPr>
            <w:rStyle w:val="Hyperlink"/>
          </w:rPr>
          <w:t xml:space="preserve">https://doi.org/10.1016/s0925-2312(02)00374-0</w:t>
        </w:r>
      </w:hyperlink>
      <w:r>
        <w:t xml:space="preserve">.</w:t>
      </w:r>
    </w:p>
    <w:bookmarkEnd w:id="130"/>
    <w:bookmarkStart w:id="132"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1">
        <w:r>
          <w:rPr>
            <w:rStyle w:val="Hyperlink"/>
          </w:rPr>
          <w:t xml:space="preserve">https://doi.org/10.1162/neco.2010.05-08-795</w:t>
        </w:r>
      </w:hyperlink>
      <w:r>
        <w:t xml:space="preserve">.</w:t>
      </w:r>
    </w:p>
    <w:bookmarkEnd w:id="132"/>
    <w:bookmarkStart w:id="134"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3">
        <w:r>
          <w:rPr>
            <w:rStyle w:val="Hyperlink"/>
          </w:rPr>
          <w:t xml:space="preserve">http://onlinelibrary.wiley.com/doi/10.1002/9783527680863.ch14/summary</w:t>
        </w:r>
      </w:hyperlink>
      <w:r>
        <w:t xml:space="preserve">.</w:t>
      </w:r>
    </w:p>
    <w:bookmarkEnd w:id="134"/>
    <w:bookmarkStart w:id="136"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5">
        <w:r>
          <w:rPr>
            <w:rStyle w:val="Hyperlink"/>
          </w:rPr>
          <w:t xml:space="preserve">https://doi.org/10.1007/s00422-014-0620-8</w:t>
        </w:r>
      </w:hyperlink>
      <w:r>
        <w:t xml:space="preserve">.</w:t>
      </w:r>
    </w:p>
    <w:bookmarkEnd w:id="136"/>
    <w:bookmarkStart w:id="137"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7"/>
    <w:bookmarkStart w:id="139"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8">
        <w:r>
          <w:rPr>
            <w:rStyle w:val="Hyperlink"/>
          </w:rPr>
          <w:t xml:space="preserve">https://doi.org/10.1038/4580</w:t>
        </w:r>
      </w:hyperlink>
      <w:r>
        <w:t xml:space="preserve">.</w:t>
      </w:r>
    </w:p>
    <w:bookmarkEnd w:id="139"/>
    <w:bookmarkStart w:id="141"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40">
        <w:r>
          <w:rPr>
            <w:rStyle w:val="Hyperlink"/>
          </w:rPr>
          <w:t xml:space="preserve">https://doi.org/10.1038/s41598-018-36861-8</w:t>
        </w:r>
      </w:hyperlink>
      <w:r>
        <w:t xml:space="preserve">.</w:t>
      </w:r>
    </w:p>
    <w:bookmarkEnd w:id="141"/>
    <w:bookmarkStart w:id="143"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2">
        <w:r>
          <w:rPr>
            <w:rStyle w:val="Hyperlink"/>
          </w:rPr>
          <w:t xml:space="preserve">https://doi.org/doi:10.1038/nn.3229</w:t>
        </w:r>
      </w:hyperlink>
      <w:r>
        <w:t xml:space="preserve">.</w:t>
      </w:r>
    </w:p>
    <w:bookmarkEnd w:id="143"/>
    <w:bookmarkStart w:id="145" w:name="ref-SPM12"/>
    <w:p>
      <w:pPr>
        <w:pStyle w:val="Bibliography"/>
      </w:pPr>
      <w:r>
        <w:rPr>
          <w:i/>
        </w:rPr>
        <w:t xml:space="preserve">Statistical Parametric Mapping: The Analysis of Functional Brain Images - 1st Edition</w:t>
      </w:r>
      <w:r>
        <w:t xml:space="preserve">. 2012.</w:t>
      </w:r>
      <w:r>
        <w:t xml:space="preserve"> </w:t>
      </w:r>
      <w:hyperlink r:id="rId144">
        <w:r>
          <w:rPr>
            <w:rStyle w:val="Hyperlink"/>
          </w:rPr>
          <w:t xml:space="preserve">https://www.elsevier.com/books/statistical-parametric-mapping-the-analysis-of-functional-brain-images/penny/978-0-12-372560-8</w:t>
        </w:r>
      </w:hyperlink>
      <w:r>
        <w:t xml:space="preserve">.</w:t>
      </w:r>
    </w:p>
    <w:bookmarkEnd w:id="145"/>
    <w:bookmarkStart w:id="147"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6">
        <w:r>
          <w:rPr>
            <w:rStyle w:val="Hyperlink"/>
          </w:rPr>
          <w:t xml:space="preserve">http://arxiv.org/abs/1811.03251</w:t>
        </w:r>
      </w:hyperlink>
      <w:r>
        <w:t xml:space="preserve">.</w:t>
      </w:r>
    </w:p>
    <w:bookmarkEnd w:id="147"/>
    <w:bookmarkStart w:id="149"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8">
        <w:r>
          <w:rPr>
            <w:rStyle w:val="Hyperlink"/>
          </w:rPr>
          <w:t xml:space="preserve">https://doi.org/10/gft5mn</w:t>
        </w:r>
      </w:hyperlink>
      <w:r>
        <w:t xml:space="preserve">.</w:t>
      </w:r>
    </w:p>
    <w:bookmarkEnd w:id="149"/>
    <w:bookmarkStart w:id="151" w:name="ref-Varoquaux19"/>
    <w:p>
      <w:pPr>
        <w:pStyle w:val="Bibliography"/>
      </w:pPr>
      <w:r>
        <w:t xml:space="preserve">Varoquaux, Gaël, and Russell Poldrack. 2019. “Predictive Models Avoid Excessive Reductionism in Cognitive Neuroimaging,” 6.</w:t>
      </w:r>
      <w:r>
        <w:t xml:space="preserve"> </w:t>
      </w:r>
      <w:hyperlink r:id="rId150">
        <w:r>
          <w:rPr>
            <w:rStyle w:val="Hyperlink"/>
          </w:rPr>
          <w:t xml:space="preserve">https://doi.org/10.1016/j.conb.2018.11.002</w:t>
        </w:r>
      </w:hyperlink>
      <w:r>
        <w:t xml:space="preserve">.</w:t>
      </w:r>
    </w:p>
    <w:bookmarkEnd w:id="151"/>
    <w:bookmarkStart w:id="152" w:name="ref-Vinje02"/>
    <w:p>
      <w:pPr>
        <w:pStyle w:val="Bibliography"/>
      </w:pPr>
      <w:r>
        <w:t xml:space="preserve">Vinje, William E, and Jack L Gallant. 2002. “Natural Stimulation of the Nonclassical Receptive Field Increases Information Transmission Efficiency in V1.”</w:t>
      </w:r>
    </w:p>
    <w:bookmarkEnd w:id="152"/>
    <w:bookmarkStart w:id="153"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3"/>
    <w:bookmarkStart w:id="154"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svg" /><Relationship Type="http://schemas.openxmlformats.org/officeDocument/2006/relationships/image" Id="rId26" Target="media/rId26.svg" /><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21" Target="CAPTCHAs" TargetMode="External" /><Relationship Type="http://schemas.openxmlformats.org/officeDocument/2006/relationships/hyperlink" Id="rId146" Target="http://arxiv.org/abs/1811.03251" TargetMode="External" /><Relationship Type="http://schemas.openxmlformats.org/officeDocument/2006/relationships/hyperlink" Id="rId133" Target="http://onlinelibrary.wiley.com/doi/10.1002/9783527680863.ch14/summary" TargetMode="External" /><Relationship Type="http://schemas.openxmlformats.org/officeDocument/2006/relationships/hyperlink" Id="rId50" Target="http://view.ncbi.nlm.nih.gov/pubmed/13167245" TargetMode="External" /><Relationship Type="http://schemas.openxmlformats.org/officeDocument/2006/relationships/hyperlink" Id="rId55"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5" Target="https://doi.org/10.1007/s00422-014-0620-8" TargetMode="External" /><Relationship Type="http://schemas.openxmlformats.org/officeDocument/2006/relationships/hyperlink" Id="rId150"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9" Target="https://doi.org/10.1016/s0925-2312(02)00374-0"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8"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2" Target="https://doi.org/10.1038/nrn2787" TargetMode="External" /><Relationship Type="http://schemas.openxmlformats.org/officeDocument/2006/relationships/hyperlink" Id="rId140"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5"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2" Target="https://doi.org/10.1152/jn.00369.2005" TargetMode="External" /><Relationship Type="http://schemas.openxmlformats.org/officeDocument/2006/relationships/hyperlink" Id="rId76" Target="https://doi.org/10.1155/2010/621670" TargetMode="External" /><Relationship Type="http://schemas.openxmlformats.org/officeDocument/2006/relationships/hyperlink" Id="rId131" Target="https://doi.org/10.1162/neco.2010.05-08-795" TargetMode="External" /><Relationship Type="http://schemas.openxmlformats.org/officeDocument/2006/relationships/hyperlink" Id="rId102" Target="https://doi.org/10.1167/14.5.10" TargetMode="External" /><Relationship Type="http://schemas.openxmlformats.org/officeDocument/2006/relationships/hyperlink" Id="rId69"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7"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67" Target="https://doi.org/10.1523/JNEUROSCI.2792-18.2019%20" TargetMode="External" /><Relationship Type="http://schemas.openxmlformats.org/officeDocument/2006/relationships/hyperlink" Id="rId59"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4" Target="https://doi.org/10.3389/fpsyg.2012.00151" TargetMode="External" /><Relationship Type="http://schemas.openxmlformats.org/officeDocument/2006/relationships/hyperlink" Id="rId63"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7" Target="https://doi.org/10/f4gsgg" TargetMode="External" /><Relationship Type="http://schemas.openxmlformats.org/officeDocument/2006/relationships/hyperlink" Id="rId79" Target="https://doi.org/10/gdhvzr" TargetMode="External" /><Relationship Type="http://schemas.openxmlformats.org/officeDocument/2006/relationships/hyperlink" Id="rId148" Target="https://doi.org/10/gft5mn" TargetMode="External" /><Relationship Type="http://schemas.openxmlformats.org/officeDocument/2006/relationships/hyperlink" Id="rId92" Target="https://doi.org/10/gft7b2" TargetMode="External" /><Relationship Type="http://schemas.openxmlformats.org/officeDocument/2006/relationships/hyperlink" Id="rId61" Target="https://doi.org/10/gfvs6r" TargetMode="External" /><Relationship Type="http://schemas.openxmlformats.org/officeDocument/2006/relationships/hyperlink" Id="rId142" Target="https://doi.org/doi:10.1038/nn.3229" TargetMode="External" /><Relationship Type="http://schemas.openxmlformats.org/officeDocument/2006/relationships/hyperlink" Id="rId38" Target="https://en.wikipedia.org/wiki/Beta_movement" TargetMode="External" /><Relationship Type="http://schemas.openxmlformats.org/officeDocument/2006/relationships/hyperlink" Id="rId35" Target="https://en.wikipedia.org/wiki/Flash_lag_illusion" TargetMode="External" /><Relationship Type="http://schemas.openxmlformats.org/officeDocument/2006/relationships/hyperlink" Id="rId36" Target="https://en.wikipedia.org/wiki/Fr%C3%B6hlich_effect" TargetMode="External" /><Relationship Type="http://schemas.openxmlformats.org/officeDocument/2006/relationships/hyperlink" Id="rId34" Target="https://journals.plos.org/ploscompbiol/article?id=10.1371/journal.pcbi.1005068" TargetMode="External" /><Relationship Type="http://schemas.openxmlformats.org/officeDocument/2006/relationships/hyperlink" Id="rId28" Target="https://link.springer.com/article/10.1007/s00422-014-0620-8#copyrightInformation" TargetMode="External" /><Relationship Type="http://schemas.openxmlformats.org/officeDocument/2006/relationships/hyperlink" Id="rId144"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2019-04-09T09:53:26Z</dcterms:created>
  <dcterms:modified xsi:type="dcterms:W3CDTF">2019-04-09T09:53:26Z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