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8D85" w14:textId="77777777" w:rsidR="005B042D" w:rsidRDefault="005B042D" w:rsidP="005B042D">
      <w:r>
        <w:rPr>
          <w:b/>
          <w:color w:val="1B3A5C"/>
          <w:sz w:val="20"/>
        </w:rPr>
        <w:t>MERIDIAN ADVISORY GROUP</w:t>
      </w:r>
    </w:p>
    <w:p w14:paraId="09480AC0" w14:textId="77777777" w:rsidR="005B042D" w:rsidRDefault="005B042D" w:rsidP="005B042D">
      <w:pPr>
        <w:pStyle w:val="Heading1"/>
      </w:pPr>
      <w:r>
        <w:t>Firm Overview &amp; Capabilities</w:t>
      </w:r>
    </w:p>
    <w:p w14:paraId="2BD11CA7" w14:textId="77777777" w:rsidR="005B042D" w:rsidRDefault="005B042D" w:rsidP="005B042D">
      <w:r>
        <w:rPr>
          <w:i/>
          <w:color w:val="666666"/>
          <w:sz w:val="24"/>
        </w:rPr>
        <w:t>Who We Are, What We Do, Why It Matters</w:t>
      </w:r>
    </w:p>
    <w:p w14:paraId="1044EF4A" w14:textId="77777777" w:rsidR="005B042D" w:rsidRDefault="005B042D" w:rsidP="005B042D">
      <w:r>
        <w:rPr>
          <w:color w:val="999999"/>
          <w:sz w:val="16"/>
        </w:rPr>
        <w:t>EXTERNAL — APPROVED FOR CLIENT DISTRIBUTION</w:t>
      </w:r>
    </w:p>
    <w:p w14:paraId="3F9C9B56" w14:textId="77777777" w:rsidR="005B042D" w:rsidRDefault="005B042D" w:rsidP="005B042D"/>
    <w:p w14:paraId="76000795" w14:textId="77777777" w:rsidR="005B042D" w:rsidRDefault="005B042D" w:rsidP="005B042D">
      <w:pPr>
        <w:pStyle w:val="Heading2"/>
      </w:pPr>
      <w:r>
        <w:t>About Meridian Advisory Group</w:t>
      </w:r>
    </w:p>
    <w:p w14:paraId="7A2FDB0F" w14:textId="77777777" w:rsidR="005B042D" w:rsidRDefault="005B042D" w:rsidP="005B042D">
      <w:r>
        <w:t>Meridian Advisory Group is a management consulting and technology advisory firm serving mid-market and enterprise clients across financial services, healthcare, and industrial sectors. Founded in 2012, Meridian has grown to 400 professionals across six offices, with a track record of delivering measurable business outcomes through strategy, technology transformation, and operational excellence engagements.</w:t>
      </w:r>
    </w:p>
    <w:p w14:paraId="18F3B8ED" w14:textId="77777777" w:rsidR="005B042D" w:rsidRDefault="005B042D" w:rsidP="005B042D">
      <w:r>
        <w:t>Our clients choose Meridian because we combine the strategic rigor of a top-tier consulting firm with the delivery pragmatism of practitioners who have built and operated the systems we advise on. Over 70% of our senior team has held operating roles in the industries we serve.</w:t>
      </w:r>
    </w:p>
    <w:p w14:paraId="590A13EB" w14:textId="77777777" w:rsidR="005B042D" w:rsidRDefault="005B042D" w:rsidP="005B042D">
      <w:pPr>
        <w:pStyle w:val="Heading2"/>
      </w:pPr>
      <w:r>
        <w:t>Service Lines</w:t>
      </w:r>
    </w:p>
    <w:p w14:paraId="72AB0492" w14:textId="77777777" w:rsidR="005B042D" w:rsidRDefault="005B042D" w:rsidP="005B042D">
      <w:pPr>
        <w:pStyle w:val="Heading3"/>
      </w:pPr>
      <w:r>
        <w:t>Strategy &amp; Transformation Advisory</w:t>
      </w:r>
    </w:p>
    <w:p w14:paraId="25DB4BF4" w14:textId="77777777" w:rsidR="005B042D" w:rsidRDefault="005B042D" w:rsidP="005B042D">
      <w:r>
        <w:t>We help C-suite leaders define and execute transformation roadmaps that align technology investments with business outcomes. Our strategy engagements typically span 8-12 weeks and produce actionable implementation plans with clear ROI models, governance frameworks, and change management playbooks.</w:t>
      </w:r>
    </w:p>
    <w:p w14:paraId="68FD8D4E" w14:textId="77777777" w:rsidR="005B042D" w:rsidRDefault="005B042D" w:rsidP="005B042D">
      <w:r>
        <w:t>Key offerings:</w:t>
      </w:r>
    </w:p>
    <w:p w14:paraId="6222D5FB" w14:textId="77777777" w:rsidR="005B042D" w:rsidRDefault="005B042D" w:rsidP="005B042D">
      <w:pPr>
        <w:pStyle w:val="ListBullet"/>
        <w:tabs>
          <w:tab w:val="num" w:pos="360"/>
        </w:tabs>
        <w:ind w:left="360" w:hanging="360"/>
      </w:pPr>
      <w:r>
        <w:t xml:space="preserve">Digital transformation strategy and </w:t>
      </w:r>
      <w:proofErr w:type="spellStart"/>
      <w:r>
        <w:t>roadmapping</w:t>
      </w:r>
      <w:proofErr w:type="spellEnd"/>
    </w:p>
    <w:p w14:paraId="6D77E68E" w14:textId="77777777" w:rsidR="005B042D" w:rsidRDefault="005B042D" w:rsidP="005B042D">
      <w:pPr>
        <w:pStyle w:val="ListBullet"/>
        <w:tabs>
          <w:tab w:val="num" w:pos="360"/>
        </w:tabs>
        <w:ind w:left="360" w:hanging="360"/>
      </w:pPr>
      <w:r>
        <w:t>Operating model design and organizational change</w:t>
      </w:r>
    </w:p>
    <w:p w14:paraId="2BD4D6C4" w14:textId="77777777" w:rsidR="005B042D" w:rsidRDefault="005B042D" w:rsidP="005B042D">
      <w:pPr>
        <w:pStyle w:val="ListBullet"/>
        <w:tabs>
          <w:tab w:val="num" w:pos="360"/>
        </w:tabs>
        <w:ind w:left="360" w:hanging="360"/>
      </w:pPr>
      <w:r>
        <w:t>Technology investment portfolio optimization</w:t>
      </w:r>
    </w:p>
    <w:p w14:paraId="1F3FD660" w14:textId="77777777" w:rsidR="005B042D" w:rsidRDefault="005B042D" w:rsidP="005B042D">
      <w:pPr>
        <w:pStyle w:val="ListBullet"/>
        <w:tabs>
          <w:tab w:val="num" w:pos="360"/>
        </w:tabs>
        <w:ind w:left="360" w:hanging="360"/>
      </w:pPr>
      <w:r>
        <w:t>M&amp;A technology due diligence and integration planning</w:t>
      </w:r>
    </w:p>
    <w:p w14:paraId="6F0FEB0D" w14:textId="77777777" w:rsidR="005B042D" w:rsidRDefault="005B042D" w:rsidP="005B042D">
      <w:pPr>
        <w:pStyle w:val="ListBullet"/>
        <w:tabs>
          <w:tab w:val="num" w:pos="360"/>
        </w:tabs>
        <w:ind w:left="360" w:hanging="360"/>
      </w:pPr>
      <w:r>
        <w:t>AI and data strategy development</w:t>
      </w:r>
    </w:p>
    <w:p w14:paraId="50B94B2E" w14:textId="77777777" w:rsidR="005B042D" w:rsidRDefault="005B042D" w:rsidP="005B042D">
      <w:pPr>
        <w:pStyle w:val="Heading3"/>
      </w:pPr>
      <w:r>
        <w:t>Technology Implementation &amp; Modernization</w:t>
      </w:r>
    </w:p>
    <w:p w14:paraId="6F860E7B" w14:textId="77777777" w:rsidR="005B042D" w:rsidRDefault="005B042D" w:rsidP="005B042D">
      <w:r>
        <w:t>Our technology practice delivers end-to-end implementation of enterprise platforms, cloud migrations, and custom solution development. We specialize in Microsoft ecosystem implementations including Azure, Dynamics 365, Power Platform, and Microsoft 365, as well as multi-cloud architectures and legacy system modernization.</w:t>
      </w:r>
    </w:p>
    <w:p w14:paraId="04E67EAC" w14:textId="77777777" w:rsidR="005B042D" w:rsidRDefault="005B042D" w:rsidP="005B042D">
      <w:r>
        <w:lastRenderedPageBreak/>
        <w:t>Key offerings:</w:t>
      </w:r>
    </w:p>
    <w:p w14:paraId="199634E0" w14:textId="77777777" w:rsidR="005B042D" w:rsidRDefault="005B042D" w:rsidP="005B042D">
      <w:pPr>
        <w:pStyle w:val="ListBullet"/>
        <w:tabs>
          <w:tab w:val="num" w:pos="360"/>
        </w:tabs>
        <w:ind w:left="360" w:hanging="360"/>
      </w:pPr>
      <w:r>
        <w:t>Cloud migration and modernization (Azure, AWS, multi-cloud)</w:t>
      </w:r>
    </w:p>
    <w:p w14:paraId="3277252E" w14:textId="77777777" w:rsidR="005B042D" w:rsidRDefault="005B042D" w:rsidP="005B042D">
      <w:pPr>
        <w:pStyle w:val="ListBullet"/>
        <w:tabs>
          <w:tab w:val="num" w:pos="360"/>
        </w:tabs>
        <w:ind w:left="360" w:hanging="360"/>
      </w:pPr>
      <w:r>
        <w:t>Enterprise platform implementation (ERP, CRM, HCM)</w:t>
      </w:r>
    </w:p>
    <w:p w14:paraId="1FDA2B35" w14:textId="77777777" w:rsidR="005B042D" w:rsidRDefault="005B042D" w:rsidP="005B042D">
      <w:pPr>
        <w:pStyle w:val="ListBullet"/>
        <w:tabs>
          <w:tab w:val="num" w:pos="360"/>
        </w:tabs>
        <w:ind w:left="360" w:hanging="360"/>
      </w:pPr>
      <w:r>
        <w:t>Data platform architecture and implementation</w:t>
      </w:r>
    </w:p>
    <w:p w14:paraId="0FB84D66" w14:textId="77777777" w:rsidR="005B042D" w:rsidRDefault="005B042D" w:rsidP="005B042D">
      <w:pPr>
        <w:pStyle w:val="ListBullet"/>
        <w:tabs>
          <w:tab w:val="num" w:pos="360"/>
        </w:tabs>
        <w:ind w:left="360" w:hanging="360"/>
      </w:pPr>
      <w:r>
        <w:t>Application modernization and API strategy</w:t>
      </w:r>
    </w:p>
    <w:p w14:paraId="2C7DFDED" w14:textId="77777777" w:rsidR="005B042D" w:rsidRDefault="005B042D" w:rsidP="005B042D">
      <w:pPr>
        <w:pStyle w:val="ListBullet"/>
        <w:tabs>
          <w:tab w:val="num" w:pos="360"/>
        </w:tabs>
        <w:ind w:left="360" w:hanging="360"/>
      </w:pPr>
      <w:r>
        <w:t>DevOps and platform engineering</w:t>
      </w:r>
    </w:p>
    <w:p w14:paraId="78832597" w14:textId="77777777" w:rsidR="005B042D" w:rsidRDefault="005B042D" w:rsidP="005B042D">
      <w:pPr>
        <w:pStyle w:val="Heading3"/>
      </w:pPr>
      <w:r>
        <w:t>Data &amp; AI Advisory</w:t>
      </w:r>
    </w:p>
    <w:p w14:paraId="5A461068" w14:textId="77777777" w:rsidR="005B042D" w:rsidRDefault="005B042D" w:rsidP="005B042D">
      <w:r>
        <w:t>Meridian's Data &amp; AI practice helps organizations build the data foundations, governance frameworks, and AI capabilities required to compete in an intelligence-driven market. Our approach emphasizes responsible AI adoption, measurable business value, and sustainable data operations — not science projects.</w:t>
      </w:r>
    </w:p>
    <w:p w14:paraId="4CF05E0A" w14:textId="77777777" w:rsidR="005B042D" w:rsidRDefault="005B042D" w:rsidP="005B042D">
      <w:r>
        <w:t>Key offerings:</w:t>
      </w:r>
    </w:p>
    <w:p w14:paraId="3C5493EE" w14:textId="77777777" w:rsidR="005B042D" w:rsidRDefault="005B042D" w:rsidP="005B042D">
      <w:pPr>
        <w:pStyle w:val="ListBullet"/>
        <w:tabs>
          <w:tab w:val="num" w:pos="360"/>
        </w:tabs>
        <w:ind w:left="360" w:hanging="360"/>
      </w:pPr>
      <w:r>
        <w:t>Enterprise data strategy and governance</w:t>
      </w:r>
    </w:p>
    <w:p w14:paraId="13BBD353" w14:textId="77777777" w:rsidR="005B042D" w:rsidRDefault="005B042D" w:rsidP="005B042D">
      <w:pPr>
        <w:pStyle w:val="ListBullet"/>
        <w:tabs>
          <w:tab w:val="num" w:pos="360"/>
        </w:tabs>
        <w:ind w:left="360" w:hanging="360"/>
      </w:pPr>
      <w:r>
        <w:t>AI readiness assessment and use case prioritization</w:t>
      </w:r>
    </w:p>
    <w:p w14:paraId="27A6E408" w14:textId="77777777" w:rsidR="005B042D" w:rsidRDefault="005B042D" w:rsidP="005B042D">
      <w:pPr>
        <w:pStyle w:val="ListBullet"/>
        <w:tabs>
          <w:tab w:val="num" w:pos="360"/>
        </w:tabs>
        <w:ind w:left="360" w:hanging="360"/>
      </w:pPr>
      <w:r>
        <w:t>Machine learning and generative AI implementation</w:t>
      </w:r>
    </w:p>
    <w:p w14:paraId="4886C852" w14:textId="77777777" w:rsidR="005B042D" w:rsidRDefault="005B042D" w:rsidP="005B042D">
      <w:pPr>
        <w:pStyle w:val="ListBullet"/>
        <w:tabs>
          <w:tab w:val="num" w:pos="360"/>
        </w:tabs>
        <w:ind w:left="360" w:hanging="360"/>
      </w:pPr>
      <w:r>
        <w:t>Data engineering and modern data platform builds</w:t>
      </w:r>
    </w:p>
    <w:p w14:paraId="75BFBB37" w14:textId="77777777" w:rsidR="005B042D" w:rsidRDefault="005B042D" w:rsidP="005B042D">
      <w:pPr>
        <w:pStyle w:val="ListBullet"/>
        <w:tabs>
          <w:tab w:val="num" w:pos="360"/>
        </w:tabs>
        <w:ind w:left="360" w:hanging="360"/>
      </w:pPr>
      <w:r>
        <w:t>Analytics and business intelligence modernization</w:t>
      </w:r>
    </w:p>
    <w:p w14:paraId="577E2D7B" w14:textId="77777777" w:rsidR="005B042D" w:rsidRDefault="005B042D" w:rsidP="005B042D">
      <w:pPr>
        <w:pStyle w:val="Heading3"/>
      </w:pPr>
      <w:r>
        <w:t>Operational Excellence &amp; Performance Improvement</w:t>
      </w:r>
    </w:p>
    <w:p w14:paraId="1EA3B54E" w14:textId="77777777" w:rsidR="005B042D" w:rsidRDefault="005B042D" w:rsidP="005B042D">
      <w:r>
        <w:t>We help clients optimize operations, reduce cost structures, and improve service delivery through process redesign, automation, and performance management. Our operational engagements consistently deliver 15-30% efficiency gains within the first six months.</w:t>
      </w:r>
    </w:p>
    <w:p w14:paraId="096F4137" w14:textId="77777777" w:rsidR="005B042D" w:rsidRDefault="005B042D" w:rsidP="005B042D">
      <w:pPr>
        <w:pStyle w:val="Heading2"/>
      </w:pPr>
      <w:r>
        <w:t>Firm by the Numbers</w:t>
      </w:r>
    </w:p>
    <w:tbl>
      <w:tblPr>
        <w:tblStyle w:val="LightShading-Accent1"/>
        <w:tblW w:w="0" w:type="auto"/>
        <w:tblLook w:val="04A0" w:firstRow="1" w:lastRow="0" w:firstColumn="1" w:lastColumn="0" w:noHBand="0" w:noVBand="1"/>
      </w:tblPr>
      <w:tblGrid>
        <w:gridCol w:w="4703"/>
        <w:gridCol w:w="4703"/>
      </w:tblGrid>
      <w:tr w:rsidR="005B042D" w14:paraId="53863083" w14:textId="77777777" w:rsidTr="004C4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0C258039" w14:textId="77777777" w:rsidR="005B042D" w:rsidRDefault="005B042D" w:rsidP="004C4F22">
            <w:r>
              <w:t>Metric</w:t>
            </w:r>
          </w:p>
        </w:tc>
        <w:tc>
          <w:tcPr>
            <w:tcW w:w="4703" w:type="dxa"/>
          </w:tcPr>
          <w:p w14:paraId="15B4C8C0" w14:textId="77777777" w:rsidR="005B042D" w:rsidRDefault="005B042D" w:rsidP="004C4F22">
            <w:pPr>
              <w:cnfStyle w:val="100000000000" w:firstRow="1" w:lastRow="0" w:firstColumn="0" w:lastColumn="0" w:oddVBand="0" w:evenVBand="0" w:oddHBand="0" w:evenHBand="0" w:firstRowFirstColumn="0" w:firstRowLastColumn="0" w:lastRowFirstColumn="0" w:lastRowLastColumn="0"/>
            </w:pPr>
            <w:r>
              <w:t>Value</w:t>
            </w:r>
          </w:p>
        </w:tc>
      </w:tr>
      <w:tr w:rsidR="005B042D" w14:paraId="7D5F1B18"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5DFFE55C" w14:textId="77777777" w:rsidR="005B042D" w:rsidRDefault="005B042D" w:rsidP="004C4F22">
            <w:r>
              <w:t>Founded</w:t>
            </w:r>
          </w:p>
        </w:tc>
        <w:tc>
          <w:tcPr>
            <w:tcW w:w="4703" w:type="dxa"/>
          </w:tcPr>
          <w:p w14:paraId="3D0ED71C" w14:textId="77777777" w:rsidR="005B042D" w:rsidRDefault="005B042D" w:rsidP="004C4F22">
            <w:pPr>
              <w:cnfStyle w:val="000000100000" w:firstRow="0" w:lastRow="0" w:firstColumn="0" w:lastColumn="0" w:oddVBand="0" w:evenVBand="0" w:oddHBand="1" w:evenHBand="0" w:firstRowFirstColumn="0" w:firstRowLastColumn="0" w:lastRowFirstColumn="0" w:lastRowLastColumn="0"/>
            </w:pPr>
            <w:r>
              <w:t>2012</w:t>
            </w:r>
          </w:p>
        </w:tc>
      </w:tr>
      <w:tr w:rsidR="005B042D" w14:paraId="5E99664A"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449F6453" w14:textId="77777777" w:rsidR="005B042D" w:rsidRDefault="005B042D" w:rsidP="004C4F22">
            <w:r>
              <w:t>Professionals</w:t>
            </w:r>
          </w:p>
        </w:tc>
        <w:tc>
          <w:tcPr>
            <w:tcW w:w="4703" w:type="dxa"/>
          </w:tcPr>
          <w:p w14:paraId="31D8A0B1" w14:textId="77777777" w:rsidR="005B042D" w:rsidRDefault="005B042D" w:rsidP="004C4F22">
            <w:pPr>
              <w:cnfStyle w:val="000000000000" w:firstRow="0" w:lastRow="0" w:firstColumn="0" w:lastColumn="0" w:oddVBand="0" w:evenVBand="0" w:oddHBand="0" w:evenHBand="0" w:firstRowFirstColumn="0" w:firstRowLastColumn="0" w:lastRowFirstColumn="0" w:lastRowLastColumn="0"/>
            </w:pPr>
            <w:r>
              <w:t>400+</w:t>
            </w:r>
          </w:p>
        </w:tc>
      </w:tr>
      <w:tr w:rsidR="005B042D" w14:paraId="771CC659"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3DF6035E" w14:textId="77777777" w:rsidR="005B042D" w:rsidRDefault="005B042D" w:rsidP="004C4F22">
            <w:r>
              <w:t>Offices</w:t>
            </w:r>
          </w:p>
        </w:tc>
        <w:tc>
          <w:tcPr>
            <w:tcW w:w="4703" w:type="dxa"/>
          </w:tcPr>
          <w:p w14:paraId="21EC08DD" w14:textId="77777777" w:rsidR="005B042D" w:rsidRDefault="005B042D" w:rsidP="004C4F22">
            <w:pPr>
              <w:cnfStyle w:val="000000100000" w:firstRow="0" w:lastRow="0" w:firstColumn="0" w:lastColumn="0" w:oddVBand="0" w:evenVBand="0" w:oddHBand="1" w:evenHBand="0" w:firstRowFirstColumn="0" w:firstRowLastColumn="0" w:lastRowFirstColumn="0" w:lastRowLastColumn="0"/>
            </w:pPr>
            <w:r>
              <w:t>6 (New York, Chicago, Boston, Atlanta, Dallas, San Francisco)</w:t>
            </w:r>
          </w:p>
        </w:tc>
      </w:tr>
      <w:tr w:rsidR="005B042D" w14:paraId="04AAD67A"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25F229C9" w14:textId="77777777" w:rsidR="005B042D" w:rsidRDefault="005B042D" w:rsidP="004C4F22">
            <w:r>
              <w:t>Active clients</w:t>
            </w:r>
          </w:p>
        </w:tc>
        <w:tc>
          <w:tcPr>
            <w:tcW w:w="4703" w:type="dxa"/>
          </w:tcPr>
          <w:p w14:paraId="5639DB9C" w14:textId="77777777" w:rsidR="005B042D" w:rsidRDefault="005B042D" w:rsidP="004C4F22">
            <w:pPr>
              <w:cnfStyle w:val="000000000000" w:firstRow="0" w:lastRow="0" w:firstColumn="0" w:lastColumn="0" w:oddVBand="0" w:evenVBand="0" w:oddHBand="0" w:evenHBand="0" w:firstRowFirstColumn="0" w:firstRowLastColumn="0" w:lastRowFirstColumn="0" w:lastRowLastColumn="0"/>
            </w:pPr>
            <w:r>
              <w:t>85+ across 3 industry verticals</w:t>
            </w:r>
          </w:p>
        </w:tc>
      </w:tr>
      <w:tr w:rsidR="005B042D" w14:paraId="507CB63D"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28F2C1E4" w14:textId="77777777" w:rsidR="005B042D" w:rsidRDefault="005B042D" w:rsidP="004C4F22">
            <w:r>
              <w:t>Average engagement size</w:t>
            </w:r>
          </w:p>
        </w:tc>
        <w:tc>
          <w:tcPr>
            <w:tcW w:w="4703" w:type="dxa"/>
          </w:tcPr>
          <w:p w14:paraId="04050AD1" w14:textId="77777777" w:rsidR="005B042D" w:rsidRDefault="005B042D" w:rsidP="004C4F22">
            <w:pPr>
              <w:cnfStyle w:val="000000100000" w:firstRow="0" w:lastRow="0" w:firstColumn="0" w:lastColumn="0" w:oddVBand="0" w:evenVBand="0" w:oddHBand="1" w:evenHBand="0" w:firstRowFirstColumn="0" w:firstRowLastColumn="0" w:lastRowFirstColumn="0" w:lastRowLastColumn="0"/>
            </w:pPr>
            <w:r>
              <w:t>$850K</w:t>
            </w:r>
          </w:p>
        </w:tc>
      </w:tr>
      <w:tr w:rsidR="005B042D" w14:paraId="265000C3"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5B68127B" w14:textId="77777777" w:rsidR="005B042D" w:rsidRDefault="005B042D" w:rsidP="004C4F22">
            <w:r>
              <w:t>Client retention rate</w:t>
            </w:r>
          </w:p>
        </w:tc>
        <w:tc>
          <w:tcPr>
            <w:tcW w:w="4703" w:type="dxa"/>
          </w:tcPr>
          <w:p w14:paraId="4299EE19" w14:textId="77777777" w:rsidR="005B042D" w:rsidRDefault="005B042D" w:rsidP="004C4F22">
            <w:pPr>
              <w:cnfStyle w:val="000000000000" w:firstRow="0" w:lastRow="0" w:firstColumn="0" w:lastColumn="0" w:oddVBand="0" w:evenVBand="0" w:oddHBand="0" w:evenHBand="0" w:firstRowFirstColumn="0" w:firstRowLastColumn="0" w:lastRowFirstColumn="0" w:lastRowLastColumn="0"/>
            </w:pPr>
            <w:r>
              <w:t>91% (3-year rolling)</w:t>
            </w:r>
          </w:p>
        </w:tc>
      </w:tr>
      <w:tr w:rsidR="005B042D" w14:paraId="0E92AFE4" w14:textId="77777777" w:rsidTr="004C4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14:paraId="6639FDD9" w14:textId="77777777" w:rsidR="005B042D" w:rsidRDefault="005B042D" w:rsidP="004C4F22">
            <w:r>
              <w:lastRenderedPageBreak/>
              <w:t>Senior team with operating experience</w:t>
            </w:r>
          </w:p>
        </w:tc>
        <w:tc>
          <w:tcPr>
            <w:tcW w:w="4703" w:type="dxa"/>
          </w:tcPr>
          <w:p w14:paraId="59CC52D6" w14:textId="77777777" w:rsidR="005B042D" w:rsidRDefault="005B042D" w:rsidP="004C4F22">
            <w:pPr>
              <w:cnfStyle w:val="000000100000" w:firstRow="0" w:lastRow="0" w:firstColumn="0" w:lastColumn="0" w:oddVBand="0" w:evenVBand="0" w:oddHBand="1" w:evenHBand="0" w:firstRowFirstColumn="0" w:firstRowLastColumn="0" w:lastRowFirstColumn="0" w:lastRowLastColumn="0"/>
            </w:pPr>
            <w:r>
              <w:t>70%+</w:t>
            </w:r>
          </w:p>
        </w:tc>
      </w:tr>
      <w:tr w:rsidR="005B042D" w14:paraId="680E6019" w14:textId="77777777" w:rsidTr="004C4F22">
        <w:tc>
          <w:tcPr>
            <w:cnfStyle w:val="001000000000" w:firstRow="0" w:lastRow="0" w:firstColumn="1" w:lastColumn="0" w:oddVBand="0" w:evenVBand="0" w:oddHBand="0" w:evenHBand="0" w:firstRowFirstColumn="0" w:firstRowLastColumn="0" w:lastRowFirstColumn="0" w:lastRowLastColumn="0"/>
            <w:tcW w:w="4703" w:type="dxa"/>
          </w:tcPr>
          <w:p w14:paraId="2C7270A2" w14:textId="77777777" w:rsidR="005B042D" w:rsidRDefault="005B042D" w:rsidP="004C4F22">
            <w:r>
              <w:t>Microsoft Partner designation</w:t>
            </w:r>
          </w:p>
        </w:tc>
        <w:tc>
          <w:tcPr>
            <w:tcW w:w="4703" w:type="dxa"/>
          </w:tcPr>
          <w:p w14:paraId="3D57B02C" w14:textId="77777777" w:rsidR="005B042D" w:rsidRDefault="005B042D" w:rsidP="004C4F22">
            <w:pPr>
              <w:cnfStyle w:val="000000000000" w:firstRow="0" w:lastRow="0" w:firstColumn="0" w:lastColumn="0" w:oddVBand="0" w:evenVBand="0" w:oddHBand="0" w:evenHBand="0" w:firstRowFirstColumn="0" w:firstRowLastColumn="0" w:lastRowFirstColumn="0" w:lastRowLastColumn="0"/>
            </w:pPr>
            <w:r>
              <w:t>Solutions Partner for Data &amp; AI, Digital &amp; App Innovation, Infrastructure</w:t>
            </w:r>
          </w:p>
        </w:tc>
      </w:tr>
    </w:tbl>
    <w:p w14:paraId="0A89904D" w14:textId="77777777" w:rsidR="005B042D" w:rsidRDefault="005B042D" w:rsidP="005B042D"/>
    <w:p w14:paraId="5A719F0E" w14:textId="77777777" w:rsidR="005B042D" w:rsidRDefault="005B042D" w:rsidP="005B042D">
      <w:pPr>
        <w:pStyle w:val="Heading2"/>
      </w:pPr>
      <w:r>
        <w:t>Industry Focus</w:t>
      </w:r>
    </w:p>
    <w:p w14:paraId="53EFC80F" w14:textId="77777777" w:rsidR="005B042D" w:rsidRDefault="005B042D" w:rsidP="005B042D">
      <w:r>
        <w:t>Meridian concentrates its expertise in three verticals where deep domain knowledge is a prerequisite for credible advisory: Financial Services (banking, insurance, capital markets, fintech), Healthcare (payers, providers, life sciences, health technology), and Industrial (manufacturing, energy, logistics, infrastructure). This focus ensures our teams speak the language of our clients' industries — regulatory requirements, operating models, and competitive dynamics — not just technology.</w:t>
      </w:r>
    </w:p>
    <w:p w14:paraId="30DAB779" w14:textId="77777777" w:rsidR="005B042D" w:rsidRDefault="005B042D" w:rsidP="005B042D">
      <w:pPr>
        <w:pStyle w:val="Heading2"/>
      </w:pPr>
      <w:r>
        <w:t>Why Clients Choose Meridian</w:t>
      </w:r>
    </w:p>
    <w:p w14:paraId="51BD767F" w14:textId="77777777" w:rsidR="005B042D" w:rsidRDefault="005B042D" w:rsidP="005B042D">
      <w:pPr>
        <w:pStyle w:val="ListBullet"/>
        <w:tabs>
          <w:tab w:val="num" w:pos="360"/>
        </w:tabs>
        <w:ind w:left="360" w:hanging="360"/>
      </w:pPr>
      <w:r>
        <w:t>Practitioner-led delivery: Our senior consultants have built and operated the systems they advise on. They bring implementation reality, not just strategic theory.</w:t>
      </w:r>
    </w:p>
    <w:p w14:paraId="6C77C24C" w14:textId="77777777" w:rsidR="005B042D" w:rsidRDefault="005B042D" w:rsidP="005B042D">
      <w:pPr>
        <w:pStyle w:val="ListBullet"/>
        <w:tabs>
          <w:tab w:val="num" w:pos="360"/>
        </w:tabs>
        <w:ind w:left="360" w:hanging="360"/>
      </w:pPr>
      <w:r>
        <w:t>Industry depth over breadth: We go deep in three verticals rather than thin across twenty. Our teams understand the regulatory, operational, and competitive context of every recommendation.</w:t>
      </w:r>
    </w:p>
    <w:p w14:paraId="4965C77C" w14:textId="77777777" w:rsidR="005B042D" w:rsidRDefault="005B042D" w:rsidP="005B042D">
      <w:pPr>
        <w:pStyle w:val="ListBullet"/>
        <w:tabs>
          <w:tab w:val="num" w:pos="360"/>
        </w:tabs>
        <w:ind w:left="360" w:hanging="360"/>
      </w:pPr>
      <w:r>
        <w:t>Outcome-based engagement models: We tie our compensation to measurable business outcomes wherever possible. 40% of our engagements include performance-linked fee structures.</w:t>
      </w:r>
    </w:p>
    <w:p w14:paraId="60A2ACD9" w14:textId="77777777" w:rsidR="005B042D" w:rsidRDefault="005B042D" w:rsidP="005B042D">
      <w:pPr>
        <w:pStyle w:val="ListBullet"/>
        <w:tabs>
          <w:tab w:val="num" w:pos="360"/>
        </w:tabs>
        <w:ind w:left="360" w:hanging="360"/>
      </w:pPr>
      <w:r>
        <w:t>Microsoft ecosystem expertise: As a Microsoft Solutions Partner across Data &amp; AI, Digital &amp; App Innovation, and Infrastructure, we help clients maximize existing Microsoft investments before introducing new vendors.</w:t>
      </w:r>
    </w:p>
    <w:p w14:paraId="5BCDE1A3" w14:textId="77777777" w:rsidR="005B042D" w:rsidRDefault="005B042D" w:rsidP="005B042D">
      <w:pPr>
        <w:pStyle w:val="ListBullet"/>
        <w:tabs>
          <w:tab w:val="num" w:pos="360"/>
        </w:tabs>
        <w:ind w:left="360" w:hanging="360"/>
      </w:pPr>
      <w:r>
        <w:t>Integrated teams, not body shops: Every Meridian engagement is staffed with a named team accountable for outcomes — not interchangeable resources billing hours.</w:t>
      </w:r>
    </w:p>
    <w:p w14:paraId="6F1CD832" w14:textId="77777777" w:rsidR="00923E5B" w:rsidRDefault="00923E5B"/>
    <w:sectPr w:rsidR="00923E5B" w:rsidSect="005B042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0A349A"/>
    <w:lvl w:ilvl="0">
      <w:start w:val="1"/>
      <w:numFmt w:val="bullet"/>
      <w:pStyle w:val="ListBullet"/>
      <w:lvlText w:val=""/>
      <w:lvlJc w:val="left"/>
      <w:pPr>
        <w:tabs>
          <w:tab w:val="num" w:pos="360"/>
        </w:tabs>
        <w:ind w:left="360" w:hanging="360"/>
      </w:pPr>
      <w:rPr>
        <w:rFonts w:ascii="Symbol" w:hAnsi="Symbol" w:hint="default"/>
      </w:rPr>
    </w:lvl>
  </w:abstractNum>
  <w:num w:numId="1" w16cid:durableId="13522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2D"/>
    <w:rsid w:val="002A4327"/>
    <w:rsid w:val="00552E0D"/>
    <w:rsid w:val="005B042D"/>
    <w:rsid w:val="005D68D3"/>
    <w:rsid w:val="00923E5B"/>
    <w:rsid w:val="00AF0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237DF"/>
  <w15:chartTrackingRefBased/>
  <w15:docId w15:val="{7BA6CB83-A9CB-B840-9965-44A5A67C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42D"/>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5B0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0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2D"/>
    <w:rPr>
      <w:rFonts w:eastAsiaTheme="majorEastAsia" w:cstheme="majorBidi"/>
      <w:color w:val="272727" w:themeColor="text1" w:themeTint="D8"/>
    </w:rPr>
  </w:style>
  <w:style w:type="paragraph" w:styleId="Title">
    <w:name w:val="Title"/>
    <w:basedOn w:val="Normal"/>
    <w:next w:val="Normal"/>
    <w:link w:val="TitleChar"/>
    <w:uiPriority w:val="10"/>
    <w:qFormat/>
    <w:rsid w:val="005B0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42D"/>
    <w:pPr>
      <w:spacing w:before="160"/>
      <w:jc w:val="center"/>
    </w:pPr>
    <w:rPr>
      <w:i/>
      <w:iCs/>
      <w:color w:val="404040" w:themeColor="text1" w:themeTint="BF"/>
    </w:rPr>
  </w:style>
  <w:style w:type="character" w:customStyle="1" w:styleId="QuoteChar">
    <w:name w:val="Quote Char"/>
    <w:basedOn w:val="DefaultParagraphFont"/>
    <w:link w:val="Quote"/>
    <w:uiPriority w:val="29"/>
    <w:rsid w:val="005B042D"/>
    <w:rPr>
      <w:i/>
      <w:iCs/>
      <w:color w:val="404040" w:themeColor="text1" w:themeTint="BF"/>
    </w:rPr>
  </w:style>
  <w:style w:type="paragraph" w:styleId="ListParagraph">
    <w:name w:val="List Paragraph"/>
    <w:basedOn w:val="Normal"/>
    <w:uiPriority w:val="34"/>
    <w:qFormat/>
    <w:rsid w:val="005B042D"/>
    <w:pPr>
      <w:ind w:left="720"/>
      <w:contextualSpacing/>
    </w:pPr>
  </w:style>
  <w:style w:type="character" w:styleId="IntenseEmphasis">
    <w:name w:val="Intense Emphasis"/>
    <w:basedOn w:val="DefaultParagraphFont"/>
    <w:uiPriority w:val="21"/>
    <w:qFormat/>
    <w:rsid w:val="005B042D"/>
    <w:rPr>
      <w:i/>
      <w:iCs/>
      <w:color w:val="0F4761" w:themeColor="accent1" w:themeShade="BF"/>
    </w:rPr>
  </w:style>
  <w:style w:type="paragraph" w:styleId="IntenseQuote">
    <w:name w:val="Intense Quote"/>
    <w:basedOn w:val="Normal"/>
    <w:next w:val="Normal"/>
    <w:link w:val="IntenseQuoteChar"/>
    <w:uiPriority w:val="30"/>
    <w:qFormat/>
    <w:rsid w:val="005B0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42D"/>
    <w:rPr>
      <w:i/>
      <w:iCs/>
      <w:color w:val="0F4761" w:themeColor="accent1" w:themeShade="BF"/>
    </w:rPr>
  </w:style>
  <w:style w:type="character" w:styleId="IntenseReference">
    <w:name w:val="Intense Reference"/>
    <w:basedOn w:val="DefaultParagraphFont"/>
    <w:uiPriority w:val="32"/>
    <w:qFormat/>
    <w:rsid w:val="005B042D"/>
    <w:rPr>
      <w:b/>
      <w:bCs/>
      <w:smallCaps/>
      <w:color w:val="0F4761" w:themeColor="accent1" w:themeShade="BF"/>
      <w:spacing w:val="5"/>
    </w:rPr>
  </w:style>
  <w:style w:type="paragraph" w:styleId="ListBullet">
    <w:name w:val="List Bullet"/>
    <w:basedOn w:val="Normal"/>
    <w:uiPriority w:val="99"/>
    <w:unhideWhenUsed/>
    <w:rsid w:val="005B042D"/>
    <w:pPr>
      <w:numPr>
        <w:numId w:val="1"/>
      </w:numPr>
      <w:tabs>
        <w:tab w:val="clear" w:pos="360"/>
      </w:tabs>
      <w:ind w:left="0" w:firstLine="0"/>
      <w:contextualSpacing/>
    </w:pPr>
  </w:style>
  <w:style w:type="table" w:styleId="LightShading-Accent1">
    <w:name w:val="Light Shading Accent 1"/>
    <w:basedOn w:val="TableNormal"/>
    <w:uiPriority w:val="60"/>
    <w:rsid w:val="005B042D"/>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622</Words>
  <Characters>4180</Characters>
  <Application>Microsoft Office Word</Application>
  <DocSecurity>0</DocSecurity>
  <Lines>92</Lines>
  <Paragraphs>69</Paragraphs>
  <ScaleCrop>false</ScaleCrop>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Tran</dc:creator>
  <cp:keywords/>
  <dc:description/>
  <cp:lastModifiedBy>Lauren Tran</cp:lastModifiedBy>
  <cp:revision>1</cp:revision>
  <dcterms:created xsi:type="dcterms:W3CDTF">2026-05-25T01:04:00Z</dcterms:created>
  <dcterms:modified xsi:type="dcterms:W3CDTF">2026-05-25T01:05:00Z</dcterms:modified>
</cp:coreProperties>
</file>