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1C94" w14:textId="77777777" w:rsidR="00BF64D4" w:rsidRDefault="00BF64D4" w:rsidP="00BF64D4">
      <w:pPr>
        <w:spacing w:before="1800"/>
      </w:pPr>
    </w:p>
    <w:p w14:paraId="552D4AFB" w14:textId="77777777" w:rsidR="00BF64D4" w:rsidRDefault="00BF64D4" w:rsidP="00BF64D4">
      <w:pPr>
        <w:spacing w:after="120"/>
        <w:jc w:val="center"/>
      </w:pPr>
      <w:r>
        <w:rPr>
          <w:b/>
          <w:bCs/>
          <w:color w:val="1F3864"/>
          <w:sz w:val="24"/>
          <w:szCs w:val="24"/>
        </w:rPr>
        <w:t>MERIDIAN ADVISORY GROUP</w:t>
      </w:r>
    </w:p>
    <w:p w14:paraId="45A26AB5" w14:textId="77777777" w:rsidR="00BF64D4" w:rsidRDefault="00BF64D4" w:rsidP="00BF64D4">
      <w:pPr>
        <w:spacing w:after="480"/>
        <w:jc w:val="center"/>
      </w:pPr>
      <w:r>
        <w:rPr>
          <w:i/>
          <w:iCs/>
          <w:color w:val="595959"/>
        </w:rPr>
        <w:t>Confidential Proposal</w:t>
      </w:r>
    </w:p>
    <w:p w14:paraId="02E46E56" w14:textId="77777777" w:rsidR="00BF64D4" w:rsidRDefault="00BF64D4" w:rsidP="00BF64D4">
      <w:pPr>
        <w:spacing w:after="120"/>
        <w:jc w:val="center"/>
      </w:pPr>
      <w:r>
        <w:rPr>
          <w:b/>
          <w:bCs/>
          <w:color w:val="1F3864"/>
          <w:sz w:val="40"/>
          <w:szCs w:val="40"/>
        </w:rPr>
        <w:t>Core Modernization Strategy</w:t>
      </w:r>
    </w:p>
    <w:p w14:paraId="10697EC9" w14:textId="77777777" w:rsidR="00BF64D4" w:rsidRDefault="00BF64D4" w:rsidP="00BF64D4">
      <w:pPr>
        <w:spacing w:after="600"/>
        <w:jc w:val="center"/>
      </w:pPr>
      <w:r>
        <w:rPr>
          <w:color w:val="595959"/>
          <w:sz w:val="26"/>
          <w:szCs w:val="26"/>
        </w:rPr>
        <w:t xml:space="preserve">A 12-week board-ready evaluation of </w:t>
      </w:r>
      <w:proofErr w:type="spellStart"/>
      <w:r>
        <w:rPr>
          <w:color w:val="595959"/>
          <w:sz w:val="26"/>
          <w:szCs w:val="26"/>
        </w:rPr>
        <w:t>replatform</w:t>
      </w:r>
      <w:proofErr w:type="spellEnd"/>
      <w:r>
        <w:rPr>
          <w:color w:val="595959"/>
          <w:sz w:val="26"/>
          <w:szCs w:val="26"/>
        </w:rPr>
        <w:t>, wrap-and-extend, and hybrid options</w:t>
      </w:r>
    </w:p>
    <w:p w14:paraId="3A319893" w14:textId="77777777" w:rsidR="00BF64D4" w:rsidRDefault="00BF64D4" w:rsidP="00BF64D4">
      <w:pPr>
        <w:spacing w:after="80"/>
        <w:jc w:val="center"/>
      </w:pPr>
      <w:r>
        <w:rPr>
          <w:sz w:val="24"/>
          <w:szCs w:val="24"/>
        </w:rPr>
        <w:t>Prepared for: Heritage Federal Savings</w:t>
      </w:r>
    </w:p>
    <w:p w14:paraId="1BB708AF" w14:textId="77777777" w:rsidR="00BF64D4" w:rsidRDefault="00BF64D4" w:rsidP="00BF64D4">
      <w:pPr>
        <w:spacing w:after="80"/>
        <w:jc w:val="center"/>
      </w:pPr>
      <w:r>
        <w:t>Date submitted: September 14, 2025</w:t>
      </w:r>
    </w:p>
    <w:p w14:paraId="57D4EDC6" w14:textId="77777777" w:rsidR="00BF64D4" w:rsidRDefault="00BF64D4" w:rsidP="00BF64D4">
      <w:pPr>
        <w:spacing w:after="80"/>
        <w:jc w:val="center"/>
      </w:pPr>
      <w:r>
        <w:t>Engagement lead: Tariq Osei, Senior Manager — Financial Services (Partner Sponsor: Helen Marsh)</w:t>
      </w:r>
    </w:p>
    <w:p w14:paraId="1EB2BAB8" w14:textId="77777777" w:rsidR="00BF64D4" w:rsidRDefault="00BF64D4" w:rsidP="00BF64D4">
      <w:pPr>
        <w:spacing w:after="80"/>
        <w:jc w:val="center"/>
      </w:pPr>
      <w:r>
        <w:t>Total investment: $580,000 (Fixed Fee)</w:t>
      </w:r>
    </w:p>
    <w:p w14:paraId="49B1ED00" w14:textId="77777777" w:rsidR="00BF64D4" w:rsidRDefault="00BF64D4" w:rsidP="00BF64D4">
      <w:pPr>
        <w:spacing w:before="800"/>
        <w:jc w:val="center"/>
      </w:pPr>
      <w:r>
        <w:rPr>
          <w:i/>
          <w:iCs/>
          <w:color w:val="7F7F7F"/>
          <w:sz w:val="18"/>
          <w:szCs w:val="18"/>
        </w:rPr>
        <w:t>Confidential – for client review only</w:t>
      </w:r>
    </w:p>
    <w:p w14:paraId="49DDEFC4" w14:textId="77777777" w:rsidR="00BF64D4" w:rsidRDefault="00BF64D4" w:rsidP="00BF64D4">
      <w:r>
        <w:br w:type="page"/>
      </w:r>
    </w:p>
    <w:p w14:paraId="62441914" w14:textId="77777777" w:rsidR="00BF64D4" w:rsidRDefault="00BF64D4" w:rsidP="00BF64D4">
      <w:pPr>
        <w:pStyle w:val="Heading1"/>
      </w:pPr>
      <w:r>
        <w:lastRenderedPageBreak/>
        <w:t>1. Executive Summary</w:t>
      </w:r>
    </w:p>
    <w:p w14:paraId="6982FD2A" w14:textId="77777777" w:rsidR="00BF64D4" w:rsidRDefault="00BF64D4" w:rsidP="00BF64D4">
      <w:pPr>
        <w:spacing w:after="120"/>
      </w:pPr>
      <w:r>
        <w:t xml:space="preserve">Heritage Federal Savings has carried its current core banking platform for nearly 30 years. Tech debt is mounting, vendor support is being deprecated on key modules, and the leadership team is split on whether to </w:t>
      </w:r>
      <w:proofErr w:type="spellStart"/>
      <w:r>
        <w:t>replatform</w:t>
      </w:r>
      <w:proofErr w:type="spellEnd"/>
      <w:r>
        <w:t>, wrap-and-extend with modern APIs, or pursue a hybrid path. The board has asked for a vendor-neutral evaluation with a clear recommendation and a credible 5-year implementation roadmap.</w:t>
      </w:r>
    </w:p>
    <w:p w14:paraId="6137197C" w14:textId="77777777" w:rsidR="00BF64D4" w:rsidRDefault="00BF64D4" w:rsidP="00BF64D4">
      <w:pPr>
        <w:spacing w:after="120"/>
      </w:pPr>
      <w:r>
        <w:t>Meridian proposes a 12-week strategy engagement organized in three phases: current-state and pain-point assessment, options design with full business case modeling, and recommendation, roadmap, and board-ready materials. The engagement is vendor-agnostic — we are not selling a platform, an integrator relationship, or a future implementation contract.</w:t>
      </w:r>
    </w:p>
    <w:p w14:paraId="19D99319" w14:textId="77777777" w:rsidR="00BF64D4" w:rsidRDefault="00BF64D4" w:rsidP="00BF64D4">
      <w:pPr>
        <w:spacing w:after="120"/>
      </w:pPr>
      <w:r>
        <w:t>Total investment is $580K fixed fee. Tariq Osei (Senior Manager, Financial Services) leads the engagement day to day; Helen Marsh (Managing Partner) sponsors and is accountable for the board-facing recommendation.</w:t>
      </w:r>
    </w:p>
    <w:p w14:paraId="4AECF2E2" w14:textId="77777777" w:rsidR="00BF64D4" w:rsidRDefault="00BF64D4" w:rsidP="00BF64D4">
      <w:pPr>
        <w:pStyle w:val="Heading1"/>
      </w:pPr>
      <w:r>
        <w:t>2. Client Situation &amp; Objectives</w:t>
      </w:r>
    </w:p>
    <w:p w14:paraId="7F2EA8E8" w14:textId="77777777" w:rsidR="00BF64D4" w:rsidRDefault="00BF64D4" w:rsidP="00BF64D4">
      <w:pPr>
        <w:spacing w:after="120"/>
      </w:pPr>
      <w:r>
        <w:t xml:space="preserve">Heritage operates with $7B in assets and a customer base centered on long-tenured deposit relationships. The current core platform is on extended support; three modules are being deprecated by the vendor over the next 36 months. The CFO favors a wrap-and-extend approach to preserve operating margin; the COO favors a full </w:t>
      </w:r>
      <w:proofErr w:type="spellStart"/>
      <w:r>
        <w:t>replatform</w:t>
      </w:r>
      <w:proofErr w:type="spellEnd"/>
      <w:r>
        <w:t xml:space="preserve"> on the grounds that the current platform cannot support the bank’s digital roadmap. Two recent MRA (Matters Requiring Attention) letters from the OCC mention legacy system risk explicitly.</w:t>
      </w:r>
    </w:p>
    <w:p w14:paraId="3C12C032" w14:textId="77777777" w:rsidR="00BF64D4" w:rsidRDefault="00BF64D4" w:rsidP="00BF64D4">
      <w:pPr>
        <w:pStyle w:val="Heading3"/>
      </w:pPr>
      <w:r>
        <w:t>Objectives for this engagement</w:t>
      </w:r>
    </w:p>
    <w:p w14:paraId="36641801" w14:textId="77777777" w:rsidR="00BF64D4" w:rsidRDefault="00BF64D4" w:rsidP="00BF64D4">
      <w:pPr>
        <w:pStyle w:val="ListParagraph"/>
        <w:numPr>
          <w:ilvl w:val="0"/>
          <w:numId w:val="1"/>
        </w:numPr>
        <w:spacing w:after="60"/>
        <w:contextualSpacing w:val="0"/>
      </w:pPr>
      <w:r>
        <w:t xml:space="preserve">Deliver a vendor-neutral evaluation of three options: full </w:t>
      </w:r>
      <w:proofErr w:type="spellStart"/>
      <w:r>
        <w:t>replatform</w:t>
      </w:r>
      <w:proofErr w:type="spellEnd"/>
      <w:r>
        <w:t>, wrap-and-extend, and a hybrid (</w:t>
      </w:r>
      <w:proofErr w:type="spellStart"/>
      <w:r>
        <w:t>replatform</w:t>
      </w:r>
      <w:proofErr w:type="spellEnd"/>
      <w:r>
        <w:t xml:space="preserve"> deposits and lending, wrap treasury and back office).</w:t>
      </w:r>
    </w:p>
    <w:p w14:paraId="38F9B009" w14:textId="77777777" w:rsidR="00BF64D4" w:rsidRDefault="00BF64D4" w:rsidP="00BF64D4">
      <w:pPr>
        <w:pStyle w:val="ListParagraph"/>
        <w:numPr>
          <w:ilvl w:val="0"/>
          <w:numId w:val="1"/>
        </w:numPr>
        <w:spacing w:after="60"/>
        <w:contextualSpacing w:val="0"/>
      </w:pPr>
      <w:r>
        <w:t>Build a 5-year business case for each option — cost, capability, risk, and regulatory posture — with explicit assumptions and sensitivities.</w:t>
      </w:r>
    </w:p>
    <w:p w14:paraId="5DE322A8" w14:textId="77777777" w:rsidR="00BF64D4" w:rsidRDefault="00BF64D4" w:rsidP="00BF64D4">
      <w:pPr>
        <w:pStyle w:val="ListParagraph"/>
        <w:numPr>
          <w:ilvl w:val="0"/>
          <w:numId w:val="1"/>
        </w:numPr>
        <w:spacing w:after="60"/>
        <w:contextualSpacing w:val="0"/>
      </w:pPr>
      <w:r>
        <w:t>Provide a recommendation with majority and minority opinions reflected, suitable for board deliberation.</w:t>
      </w:r>
    </w:p>
    <w:p w14:paraId="6DB57B9E" w14:textId="77777777" w:rsidR="00BF64D4" w:rsidRDefault="00BF64D4" w:rsidP="00BF64D4">
      <w:pPr>
        <w:pStyle w:val="ListParagraph"/>
        <w:numPr>
          <w:ilvl w:val="0"/>
          <w:numId w:val="1"/>
        </w:numPr>
        <w:spacing w:after="60"/>
        <w:contextualSpacing w:val="0"/>
      </w:pPr>
      <w:r>
        <w:t>Deliver an implementation roadmap for the recommended option with phasing, dependencies, and a realistic resource plan.</w:t>
      </w:r>
    </w:p>
    <w:p w14:paraId="66544E83" w14:textId="77777777" w:rsidR="00BF64D4" w:rsidRDefault="00BF64D4" w:rsidP="00BF64D4">
      <w:pPr>
        <w:pStyle w:val="ListParagraph"/>
        <w:numPr>
          <w:ilvl w:val="0"/>
          <w:numId w:val="1"/>
        </w:numPr>
        <w:spacing w:after="60"/>
        <w:contextualSpacing w:val="0"/>
      </w:pPr>
      <w:r>
        <w:t>Produce board-ready materials suitable for the November 2025 board meeting.</w:t>
      </w:r>
    </w:p>
    <w:p w14:paraId="4B54EA01" w14:textId="77777777" w:rsidR="00BF64D4" w:rsidRDefault="00BF64D4" w:rsidP="00BF64D4">
      <w:pPr>
        <w:pStyle w:val="Heading1"/>
      </w:pPr>
      <w:r>
        <w:t>3. Proposed Approach</w:t>
      </w:r>
    </w:p>
    <w:p w14:paraId="13A21038" w14:textId="77777777" w:rsidR="00BF64D4" w:rsidRDefault="00BF64D4" w:rsidP="00BF64D4">
      <w:pPr>
        <w:pStyle w:val="Heading2"/>
      </w:pPr>
      <w:r>
        <w:t>Phase 1: Current State &amp; Pain Point Assessment (Weeks 1–3)</w:t>
      </w:r>
    </w:p>
    <w:p w14:paraId="4B54DE61" w14:textId="77777777" w:rsidR="00BF64D4" w:rsidRDefault="00BF64D4" w:rsidP="00BF64D4">
      <w:pPr>
        <w:spacing w:after="120"/>
      </w:pPr>
      <w:r>
        <w:t>Build a shared, fact-based view of the current platform, the operational pain points it creates, and the regulatory exposure it represents.</w:t>
      </w:r>
    </w:p>
    <w:p w14:paraId="11E40542" w14:textId="77777777" w:rsidR="00BF64D4" w:rsidRDefault="00BF64D4" w:rsidP="00BF64D4">
      <w:r>
        <w:rPr>
          <w:b/>
          <w:bCs/>
        </w:rPr>
        <w:t>Key activities</w:t>
      </w:r>
    </w:p>
    <w:p w14:paraId="73AA7C88" w14:textId="77777777" w:rsidR="00BF64D4" w:rsidRDefault="00BF64D4" w:rsidP="00BF64D4">
      <w:pPr>
        <w:pStyle w:val="ListParagraph"/>
        <w:numPr>
          <w:ilvl w:val="0"/>
          <w:numId w:val="1"/>
        </w:numPr>
        <w:spacing w:after="60"/>
        <w:contextualSpacing w:val="0"/>
      </w:pPr>
      <w:r>
        <w:t>Architecture and module-level review of the current core with Heritage IT.</w:t>
      </w:r>
    </w:p>
    <w:p w14:paraId="6E785927" w14:textId="77777777" w:rsidR="00BF64D4" w:rsidRDefault="00BF64D4" w:rsidP="00BF64D4">
      <w:pPr>
        <w:pStyle w:val="ListParagraph"/>
        <w:numPr>
          <w:ilvl w:val="0"/>
          <w:numId w:val="1"/>
        </w:numPr>
        <w:spacing w:after="60"/>
        <w:contextualSpacing w:val="0"/>
      </w:pPr>
      <w:r>
        <w:t>Pain-point interviews with deposit operations, lending, treasury, and customer service leaders.</w:t>
      </w:r>
    </w:p>
    <w:p w14:paraId="1A010EA7" w14:textId="77777777" w:rsidR="00BF64D4" w:rsidRDefault="00BF64D4" w:rsidP="00BF64D4">
      <w:pPr>
        <w:pStyle w:val="ListParagraph"/>
        <w:numPr>
          <w:ilvl w:val="0"/>
          <w:numId w:val="1"/>
        </w:numPr>
        <w:spacing w:after="60"/>
        <w:contextualSpacing w:val="0"/>
      </w:pPr>
      <w:r>
        <w:t>Review of recent OCC correspondence and remediation plans relevant to legacy systems.</w:t>
      </w:r>
    </w:p>
    <w:p w14:paraId="359BDC48" w14:textId="77777777" w:rsidR="00BF64D4" w:rsidRDefault="00BF64D4" w:rsidP="00BF64D4">
      <w:pPr>
        <w:pStyle w:val="ListParagraph"/>
        <w:numPr>
          <w:ilvl w:val="0"/>
          <w:numId w:val="1"/>
        </w:numPr>
        <w:spacing w:after="60"/>
        <w:contextualSpacing w:val="0"/>
      </w:pPr>
      <w:r>
        <w:lastRenderedPageBreak/>
        <w:t>Benchmarking against peer community banks of similar size and customer profile.</w:t>
      </w:r>
    </w:p>
    <w:p w14:paraId="375E982A" w14:textId="77777777" w:rsidR="00BF64D4" w:rsidRDefault="00BF64D4" w:rsidP="00BF64D4">
      <w:r>
        <w:rPr>
          <w:b/>
          <w:bCs/>
        </w:rPr>
        <w:t>Deliverables</w:t>
      </w:r>
    </w:p>
    <w:p w14:paraId="43004D36" w14:textId="77777777" w:rsidR="00BF64D4" w:rsidRDefault="00BF64D4" w:rsidP="00BF64D4">
      <w:pPr>
        <w:pStyle w:val="ListParagraph"/>
        <w:numPr>
          <w:ilvl w:val="0"/>
          <w:numId w:val="1"/>
        </w:numPr>
        <w:spacing w:after="60"/>
        <w:contextualSpacing w:val="0"/>
      </w:pPr>
      <w:r>
        <w:t>Current state assessment document (40–60 pages).</w:t>
      </w:r>
    </w:p>
    <w:p w14:paraId="7D9EF52B" w14:textId="77777777" w:rsidR="00BF64D4" w:rsidRDefault="00BF64D4" w:rsidP="00BF64D4">
      <w:pPr>
        <w:pStyle w:val="ListParagraph"/>
        <w:numPr>
          <w:ilvl w:val="0"/>
          <w:numId w:val="1"/>
        </w:numPr>
        <w:spacing w:after="60"/>
        <w:contextualSpacing w:val="0"/>
      </w:pPr>
      <w:r>
        <w:t>Quantified pain-point inventory tied to operational and regulatory risk.</w:t>
      </w:r>
    </w:p>
    <w:p w14:paraId="563069AE" w14:textId="77777777" w:rsidR="00BF64D4" w:rsidRDefault="00BF64D4" w:rsidP="00BF64D4">
      <w:pPr>
        <w:pStyle w:val="ListParagraph"/>
        <w:numPr>
          <w:ilvl w:val="0"/>
          <w:numId w:val="1"/>
        </w:numPr>
        <w:spacing w:after="60"/>
        <w:contextualSpacing w:val="0"/>
      </w:pPr>
      <w:r>
        <w:t>Peer benchmark summary.</w:t>
      </w:r>
    </w:p>
    <w:p w14:paraId="1A532A2E" w14:textId="77777777" w:rsidR="00BF64D4" w:rsidRDefault="00BF64D4" w:rsidP="00BF64D4">
      <w:pPr>
        <w:pStyle w:val="Heading2"/>
      </w:pPr>
      <w:r>
        <w:t>Phase 2: Options Design &amp; Business Case Modeling (Weeks 4–9)</w:t>
      </w:r>
    </w:p>
    <w:p w14:paraId="0385E4C1" w14:textId="77777777" w:rsidR="00BF64D4" w:rsidRDefault="00BF64D4" w:rsidP="00BF64D4">
      <w:pPr>
        <w:spacing w:after="120"/>
      </w:pPr>
      <w:r>
        <w:t>Develop and stress-test the three options with full business cases, vendor landscape views, and explicit assumptions.</w:t>
      </w:r>
    </w:p>
    <w:p w14:paraId="42A582E0" w14:textId="77777777" w:rsidR="00BF64D4" w:rsidRDefault="00BF64D4" w:rsidP="00BF64D4">
      <w:r>
        <w:rPr>
          <w:b/>
          <w:bCs/>
        </w:rPr>
        <w:t>Key activities</w:t>
      </w:r>
    </w:p>
    <w:p w14:paraId="629A9F25" w14:textId="77777777" w:rsidR="00BF64D4" w:rsidRDefault="00BF64D4" w:rsidP="00BF64D4">
      <w:pPr>
        <w:pStyle w:val="ListParagraph"/>
        <w:numPr>
          <w:ilvl w:val="0"/>
          <w:numId w:val="1"/>
        </w:numPr>
        <w:spacing w:after="60"/>
        <w:contextualSpacing w:val="0"/>
      </w:pPr>
      <w:r>
        <w:t>Define the three options in operational detail (what changes, what stays, transition states).</w:t>
      </w:r>
    </w:p>
    <w:p w14:paraId="60D82B20" w14:textId="77777777" w:rsidR="00BF64D4" w:rsidRDefault="00BF64D4" w:rsidP="00BF64D4">
      <w:pPr>
        <w:pStyle w:val="ListParagraph"/>
        <w:numPr>
          <w:ilvl w:val="0"/>
          <w:numId w:val="1"/>
        </w:numPr>
        <w:spacing w:after="60"/>
        <w:contextualSpacing w:val="0"/>
      </w:pPr>
      <w:r>
        <w:t>5-year cost model per option: implementation cost, run cost, exit cost.</w:t>
      </w:r>
    </w:p>
    <w:p w14:paraId="5FFB5EE9" w14:textId="77777777" w:rsidR="00BF64D4" w:rsidRDefault="00BF64D4" w:rsidP="00BF64D4">
      <w:pPr>
        <w:pStyle w:val="ListParagraph"/>
        <w:numPr>
          <w:ilvl w:val="0"/>
          <w:numId w:val="1"/>
        </w:numPr>
        <w:spacing w:after="60"/>
        <w:contextualSpacing w:val="0"/>
      </w:pPr>
      <w:r>
        <w:t>Capability model: what becomes possible under each option that is not possible today.</w:t>
      </w:r>
    </w:p>
    <w:p w14:paraId="49750D40" w14:textId="77777777" w:rsidR="00BF64D4" w:rsidRDefault="00BF64D4" w:rsidP="00BF64D4">
      <w:pPr>
        <w:pStyle w:val="ListParagraph"/>
        <w:numPr>
          <w:ilvl w:val="0"/>
          <w:numId w:val="1"/>
        </w:numPr>
        <w:spacing w:after="60"/>
        <w:contextualSpacing w:val="0"/>
      </w:pPr>
      <w:r>
        <w:t>Risk model: implementation risk, regulatory risk, customer disruption risk.</w:t>
      </w:r>
    </w:p>
    <w:p w14:paraId="2A8A2CB7" w14:textId="77777777" w:rsidR="00BF64D4" w:rsidRDefault="00BF64D4" w:rsidP="00BF64D4">
      <w:pPr>
        <w:pStyle w:val="ListParagraph"/>
        <w:numPr>
          <w:ilvl w:val="0"/>
          <w:numId w:val="1"/>
        </w:numPr>
        <w:spacing w:after="60"/>
        <w:contextualSpacing w:val="0"/>
      </w:pPr>
      <w:r>
        <w:t>Vendor landscape view (informative, not endorsing) for each option.</w:t>
      </w:r>
    </w:p>
    <w:p w14:paraId="11E22181" w14:textId="77777777" w:rsidR="00BF64D4" w:rsidRDefault="00BF64D4" w:rsidP="00BF64D4">
      <w:pPr>
        <w:pStyle w:val="ListParagraph"/>
        <w:numPr>
          <w:ilvl w:val="0"/>
          <w:numId w:val="1"/>
        </w:numPr>
        <w:spacing w:after="60"/>
        <w:contextualSpacing w:val="0"/>
      </w:pPr>
      <w:r>
        <w:t>Sensitivity analysis on the 4–6 most consequential assumptions.</w:t>
      </w:r>
    </w:p>
    <w:p w14:paraId="2B2C0E1B" w14:textId="77777777" w:rsidR="00BF64D4" w:rsidRDefault="00BF64D4" w:rsidP="00BF64D4">
      <w:r>
        <w:rPr>
          <w:b/>
          <w:bCs/>
        </w:rPr>
        <w:t>Deliverables</w:t>
      </w:r>
    </w:p>
    <w:p w14:paraId="5425FD25" w14:textId="77777777" w:rsidR="00BF64D4" w:rsidRDefault="00BF64D4" w:rsidP="00BF64D4">
      <w:pPr>
        <w:pStyle w:val="ListParagraph"/>
        <w:numPr>
          <w:ilvl w:val="0"/>
          <w:numId w:val="1"/>
        </w:numPr>
        <w:spacing w:after="60"/>
        <w:contextualSpacing w:val="0"/>
      </w:pPr>
      <w:r>
        <w:t>Options package with operational detail, business case, and risk profile.</w:t>
      </w:r>
    </w:p>
    <w:p w14:paraId="506D5E64" w14:textId="77777777" w:rsidR="00BF64D4" w:rsidRDefault="00BF64D4" w:rsidP="00BF64D4">
      <w:pPr>
        <w:pStyle w:val="ListParagraph"/>
        <w:numPr>
          <w:ilvl w:val="0"/>
          <w:numId w:val="1"/>
        </w:numPr>
        <w:spacing w:after="60"/>
        <w:contextualSpacing w:val="0"/>
      </w:pPr>
      <w:r>
        <w:t>5-year financial model in Excel with documented assumptions and sensitivities.</w:t>
      </w:r>
    </w:p>
    <w:p w14:paraId="0ECAF607" w14:textId="77777777" w:rsidR="00BF64D4" w:rsidRDefault="00BF64D4" w:rsidP="00BF64D4">
      <w:pPr>
        <w:pStyle w:val="ListParagraph"/>
        <w:numPr>
          <w:ilvl w:val="0"/>
          <w:numId w:val="1"/>
        </w:numPr>
        <w:spacing w:after="60"/>
        <w:contextualSpacing w:val="0"/>
      </w:pPr>
      <w:r>
        <w:t>Vendor landscape view per option (information only).</w:t>
      </w:r>
    </w:p>
    <w:p w14:paraId="1B4D19E6" w14:textId="77777777" w:rsidR="00BF64D4" w:rsidRDefault="00BF64D4" w:rsidP="00BF64D4">
      <w:pPr>
        <w:pStyle w:val="Heading2"/>
      </w:pPr>
      <w:r>
        <w:t>Phase 3: Recommendation, Roadmap &amp; Board Materials (Weeks 10–12)</w:t>
      </w:r>
    </w:p>
    <w:p w14:paraId="77E75E99" w14:textId="77777777" w:rsidR="00BF64D4" w:rsidRDefault="00BF64D4" w:rsidP="00BF64D4">
      <w:pPr>
        <w:spacing w:after="120"/>
      </w:pPr>
      <w:r>
        <w:t>Convert the analysis into a defensible recommendation, an implementation roadmap, and materials the board can act on.</w:t>
      </w:r>
    </w:p>
    <w:p w14:paraId="02250FD1" w14:textId="77777777" w:rsidR="00BF64D4" w:rsidRDefault="00BF64D4" w:rsidP="00BF64D4">
      <w:r>
        <w:rPr>
          <w:b/>
          <w:bCs/>
        </w:rPr>
        <w:t>Key activities</w:t>
      </w:r>
    </w:p>
    <w:p w14:paraId="62DC7E8B" w14:textId="77777777" w:rsidR="00BF64D4" w:rsidRDefault="00BF64D4" w:rsidP="00BF64D4">
      <w:pPr>
        <w:pStyle w:val="ListParagraph"/>
        <w:numPr>
          <w:ilvl w:val="0"/>
          <w:numId w:val="1"/>
        </w:numPr>
        <w:spacing w:after="60"/>
        <w:contextualSpacing w:val="0"/>
      </w:pPr>
      <w:r>
        <w:t>Recommendation workshop with executive team to align on the path forward.</w:t>
      </w:r>
    </w:p>
    <w:p w14:paraId="3FEF8E7D" w14:textId="77777777" w:rsidR="00BF64D4" w:rsidRDefault="00BF64D4" w:rsidP="00BF64D4">
      <w:pPr>
        <w:pStyle w:val="ListParagraph"/>
        <w:numPr>
          <w:ilvl w:val="0"/>
          <w:numId w:val="1"/>
        </w:numPr>
        <w:spacing w:after="60"/>
        <w:contextualSpacing w:val="0"/>
      </w:pPr>
      <w:r>
        <w:t>5-year implementation roadmap for the recommended option.</w:t>
      </w:r>
    </w:p>
    <w:p w14:paraId="643A22C8" w14:textId="77777777" w:rsidR="00BF64D4" w:rsidRDefault="00BF64D4" w:rsidP="00BF64D4">
      <w:pPr>
        <w:pStyle w:val="ListParagraph"/>
        <w:numPr>
          <w:ilvl w:val="0"/>
          <w:numId w:val="1"/>
        </w:numPr>
        <w:spacing w:after="60"/>
        <w:contextualSpacing w:val="0"/>
      </w:pPr>
      <w:r>
        <w:t>Risk register and dependency map for the first 18 months.</w:t>
      </w:r>
    </w:p>
    <w:p w14:paraId="2555368A" w14:textId="77777777" w:rsidR="00BF64D4" w:rsidRDefault="00BF64D4" w:rsidP="00BF64D4">
      <w:pPr>
        <w:pStyle w:val="ListParagraph"/>
        <w:numPr>
          <w:ilvl w:val="0"/>
          <w:numId w:val="1"/>
        </w:numPr>
        <w:spacing w:after="60"/>
        <w:contextualSpacing w:val="0"/>
      </w:pPr>
      <w:r>
        <w:t>Board deck, narrative, and supporting appendix.</w:t>
      </w:r>
    </w:p>
    <w:p w14:paraId="511A047A" w14:textId="77777777" w:rsidR="00BF64D4" w:rsidRDefault="00BF64D4" w:rsidP="00BF64D4">
      <w:pPr>
        <w:pStyle w:val="ListParagraph"/>
        <w:numPr>
          <w:ilvl w:val="0"/>
          <w:numId w:val="1"/>
        </w:numPr>
        <w:spacing w:after="60"/>
        <w:contextualSpacing w:val="0"/>
      </w:pPr>
      <w:proofErr w:type="gramStart"/>
      <w:r>
        <w:t>Dry-run</w:t>
      </w:r>
      <w:proofErr w:type="gramEnd"/>
      <w:r>
        <w:t xml:space="preserve"> of the board presentation with executive sponsors.</w:t>
      </w:r>
    </w:p>
    <w:p w14:paraId="6E2AACEF" w14:textId="77777777" w:rsidR="00BF64D4" w:rsidRDefault="00BF64D4" w:rsidP="00BF64D4">
      <w:r>
        <w:rPr>
          <w:b/>
          <w:bCs/>
        </w:rPr>
        <w:t>Deliverables</w:t>
      </w:r>
    </w:p>
    <w:p w14:paraId="76394D40" w14:textId="77777777" w:rsidR="00BF64D4" w:rsidRDefault="00BF64D4" w:rsidP="00BF64D4">
      <w:pPr>
        <w:pStyle w:val="ListParagraph"/>
        <w:numPr>
          <w:ilvl w:val="0"/>
          <w:numId w:val="1"/>
        </w:numPr>
        <w:spacing w:after="60"/>
        <w:contextualSpacing w:val="0"/>
      </w:pPr>
      <w:r>
        <w:t>Recommendation document with majority/minority opinions and decision rationale.</w:t>
      </w:r>
    </w:p>
    <w:p w14:paraId="0F5576D5" w14:textId="77777777" w:rsidR="00BF64D4" w:rsidRDefault="00BF64D4" w:rsidP="00BF64D4">
      <w:pPr>
        <w:pStyle w:val="ListParagraph"/>
        <w:numPr>
          <w:ilvl w:val="0"/>
          <w:numId w:val="1"/>
        </w:numPr>
        <w:spacing w:after="60"/>
        <w:contextualSpacing w:val="0"/>
      </w:pPr>
      <w:r>
        <w:t>5-year roadmap with phasing, dependencies, and resource plan.</w:t>
      </w:r>
    </w:p>
    <w:p w14:paraId="5CBC701E" w14:textId="77777777" w:rsidR="00BF64D4" w:rsidRDefault="00BF64D4" w:rsidP="00BF64D4">
      <w:pPr>
        <w:pStyle w:val="ListParagraph"/>
        <w:numPr>
          <w:ilvl w:val="0"/>
          <w:numId w:val="1"/>
        </w:numPr>
        <w:spacing w:after="60"/>
        <w:contextualSpacing w:val="0"/>
      </w:pPr>
      <w:r>
        <w:t>Board-ready presentation deck and narrative.</w:t>
      </w:r>
    </w:p>
    <w:p w14:paraId="44260537" w14:textId="77777777" w:rsidR="00BF64D4" w:rsidRDefault="00BF64D4" w:rsidP="00BF64D4">
      <w:pPr>
        <w:pStyle w:val="Heading1"/>
      </w:pPr>
      <w:r>
        <w:t>4. Team &amp; Staffing Model</w:t>
      </w:r>
    </w:p>
    <w:p w14:paraId="01A2F26A" w14:textId="77777777" w:rsidR="00BF64D4" w:rsidRDefault="00BF64D4" w:rsidP="00BF64D4">
      <w:pPr>
        <w:spacing w:after="120"/>
      </w:pPr>
      <w:r>
        <w:t>Engagement staffing is partner-led and senior-heavy. Allocations below reflect the planned average across the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480"/>
        <w:gridCol w:w="1480"/>
      </w:tblGrid>
      <w:tr w:rsidR="00BF64D4" w14:paraId="301A74B7" w14:textId="77777777" w:rsidTr="004C4F22">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3A8168" w14:textId="77777777" w:rsidR="00BF64D4" w:rsidRDefault="00BF64D4" w:rsidP="004C4F22">
            <w:r>
              <w:rPr>
                <w:b/>
                <w:bCs/>
              </w:rPr>
              <w:t>Name</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8355C3" w14:textId="77777777" w:rsidR="00BF64D4" w:rsidRDefault="00BF64D4" w:rsidP="004C4F22">
            <w:r>
              <w:rPr>
                <w:b/>
                <w:bCs/>
              </w:rPr>
              <w:t>Role</w:t>
            </w:r>
          </w:p>
        </w:tc>
        <w:tc>
          <w:tcPr>
            <w:tcW w:w="14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7DFD20" w14:textId="77777777" w:rsidR="00BF64D4" w:rsidRDefault="00BF64D4" w:rsidP="004C4F22">
            <w:r>
              <w:rPr>
                <w:b/>
                <w:bCs/>
              </w:rPr>
              <w:t>Level</w:t>
            </w:r>
          </w:p>
        </w:tc>
        <w:tc>
          <w:tcPr>
            <w:tcW w:w="14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645B97" w14:textId="77777777" w:rsidR="00BF64D4" w:rsidRDefault="00BF64D4" w:rsidP="004C4F22">
            <w:r>
              <w:rPr>
                <w:b/>
                <w:bCs/>
              </w:rPr>
              <w:t>Allocation</w:t>
            </w:r>
          </w:p>
        </w:tc>
      </w:tr>
      <w:tr w:rsidR="00BF64D4" w14:paraId="7FA17149"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C678D" w14:textId="77777777" w:rsidR="00BF64D4" w:rsidRDefault="00BF64D4" w:rsidP="004C4F22">
            <w:r>
              <w:t>Helen Marsh</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D423F" w14:textId="77777777" w:rsidR="00BF64D4" w:rsidRDefault="00BF64D4" w:rsidP="004C4F22">
            <w:r>
              <w:t>Partner Sponsor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3434E" w14:textId="77777777" w:rsidR="00BF64D4" w:rsidRDefault="00BF64D4" w:rsidP="004C4F22">
            <w:r>
              <w:t>Managing Partner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9DEB5" w14:textId="77777777" w:rsidR="00BF64D4" w:rsidRDefault="00BF64D4" w:rsidP="004C4F22">
            <w:r>
              <w:t>10%</w:t>
            </w:r>
          </w:p>
        </w:tc>
      </w:tr>
      <w:tr w:rsidR="00BF64D4" w14:paraId="6FE93A6E"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3EBD0" w14:textId="77777777" w:rsidR="00BF64D4" w:rsidRDefault="00BF64D4" w:rsidP="004C4F22">
            <w:r>
              <w:lastRenderedPageBreak/>
              <w:t>Tariq Osei</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A72CA" w14:textId="77777777" w:rsidR="00BF64D4" w:rsidRDefault="00BF64D4" w:rsidP="004C4F22">
            <w:r>
              <w:t>Engagement Lead</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27C55" w14:textId="77777777" w:rsidR="00BF64D4" w:rsidRDefault="00BF64D4" w:rsidP="004C4F22">
            <w:r>
              <w:t>Senior Manager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8B79F" w14:textId="77777777" w:rsidR="00BF64D4" w:rsidRDefault="00BF64D4" w:rsidP="004C4F22">
            <w:r>
              <w:t>60%</w:t>
            </w:r>
          </w:p>
        </w:tc>
      </w:tr>
      <w:tr w:rsidR="00BF64D4" w14:paraId="33C5D762"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38ED6" w14:textId="77777777" w:rsidR="00BF64D4" w:rsidRDefault="00BF64D4" w:rsidP="004C4F22">
            <w:r>
              <w:t>Senior Consultant (FS Strategy)</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B91C4" w14:textId="77777777" w:rsidR="00BF64D4" w:rsidRDefault="00BF64D4" w:rsidP="004C4F22">
            <w:r>
              <w:t>Business case modeling</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3E6DD" w14:textId="77777777" w:rsidR="00BF64D4" w:rsidRDefault="00BF64D4"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CA43F" w14:textId="77777777" w:rsidR="00BF64D4" w:rsidRDefault="00BF64D4" w:rsidP="004C4F22">
            <w:r>
              <w:t>80%</w:t>
            </w:r>
          </w:p>
        </w:tc>
      </w:tr>
      <w:tr w:rsidR="00BF64D4" w14:paraId="00622273"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4A3EA" w14:textId="77777777" w:rsidR="00BF64D4" w:rsidRDefault="00BF64D4" w:rsidP="004C4F22">
            <w:r>
              <w:t>Senior Consultant (Tech Arch.)</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135A1" w14:textId="77777777" w:rsidR="00BF64D4" w:rsidRDefault="00BF64D4" w:rsidP="004C4F22">
            <w:r>
              <w:t>Options design, vendor landscape</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3315C" w14:textId="77777777" w:rsidR="00BF64D4" w:rsidRDefault="00BF64D4"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98864" w14:textId="77777777" w:rsidR="00BF64D4" w:rsidRDefault="00BF64D4" w:rsidP="004C4F22">
            <w:r>
              <w:t>60%</w:t>
            </w:r>
          </w:p>
        </w:tc>
      </w:tr>
      <w:tr w:rsidR="00BF64D4" w14:paraId="1B33E571"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03925" w14:textId="77777777" w:rsidR="00BF64D4" w:rsidRDefault="00BF64D4" w:rsidP="004C4F22">
            <w:r>
              <w:t>Analyst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D1019" w14:textId="77777777" w:rsidR="00BF64D4" w:rsidRDefault="00BF64D4" w:rsidP="004C4F22">
            <w:r>
              <w:t>Benchmarking, modeling support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F2DCE" w14:textId="77777777" w:rsidR="00BF64D4" w:rsidRDefault="00BF64D4" w:rsidP="004C4F22">
            <w:r>
              <w:t>Analyst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CFD72" w14:textId="77777777" w:rsidR="00BF64D4" w:rsidRDefault="00BF64D4" w:rsidP="004C4F22">
            <w:r>
              <w:t>50%</w:t>
            </w:r>
          </w:p>
        </w:tc>
      </w:tr>
    </w:tbl>
    <w:p w14:paraId="30F5F086" w14:textId="77777777" w:rsidR="00BF64D4" w:rsidRDefault="00BF64D4" w:rsidP="00BF64D4">
      <w:pPr>
        <w:pStyle w:val="Heading1"/>
      </w:pPr>
      <w:r>
        <w:t>5. Timeline</w:t>
      </w:r>
    </w:p>
    <w:p w14:paraId="661921AA" w14:textId="77777777" w:rsidR="00BF64D4" w:rsidRDefault="00BF64D4" w:rsidP="00BF64D4">
      <w:pPr>
        <w:spacing w:after="120"/>
      </w:pPr>
      <w:r>
        <w:t>Planned duration: 12 weeks (kickoff September 29, 2025; board materials delivered week of November 24, 2025). Milestones are committed; intra-phase dates are managed against the biweekly steering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BF64D4" w14:paraId="37A3F1A6" w14:textId="77777777" w:rsidTr="004C4F22">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2D608E" w14:textId="77777777" w:rsidR="00BF64D4" w:rsidRDefault="00BF64D4" w:rsidP="004C4F22">
            <w:r>
              <w:rPr>
                <w:b/>
                <w:bCs/>
              </w:rPr>
              <w:t>Phase</w:t>
            </w:r>
          </w:p>
        </w:tc>
        <w:tc>
          <w:tcPr>
            <w:tcW w:w="1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DE13B6" w14:textId="77777777" w:rsidR="00BF64D4" w:rsidRDefault="00BF64D4" w:rsidP="004C4F22">
            <w:r>
              <w:rPr>
                <w:b/>
                <w:bCs/>
              </w:rPr>
              <w:t>Duration</w:t>
            </w:r>
          </w:p>
        </w:tc>
        <w:tc>
          <w:tcPr>
            <w:tcW w:w="52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A6E4CA" w14:textId="77777777" w:rsidR="00BF64D4" w:rsidRDefault="00BF64D4" w:rsidP="004C4F22">
            <w:r>
              <w:rPr>
                <w:b/>
                <w:bCs/>
              </w:rPr>
              <w:t>Key milestone</w:t>
            </w:r>
          </w:p>
        </w:tc>
      </w:tr>
      <w:tr w:rsidR="00BF64D4" w14:paraId="4D141382"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A5190" w14:textId="77777777" w:rsidR="00BF64D4" w:rsidRDefault="00BF64D4" w:rsidP="004C4F22">
            <w:r>
              <w:t>Phase 1: Current State &amp; Pain Point Assessment</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7B624" w14:textId="77777777" w:rsidR="00BF64D4" w:rsidRDefault="00BF64D4" w:rsidP="004C4F22">
            <w:r>
              <w:t>3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338BA" w14:textId="77777777" w:rsidR="00BF64D4" w:rsidRDefault="00BF64D4" w:rsidP="004C4F22">
            <w:r>
              <w:t>Pain-point inventory and benchmarks agreed</w:t>
            </w:r>
          </w:p>
        </w:tc>
      </w:tr>
      <w:tr w:rsidR="00BF64D4" w14:paraId="13EF52C1"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D3733" w14:textId="77777777" w:rsidR="00BF64D4" w:rsidRDefault="00BF64D4" w:rsidP="004C4F22">
            <w:r>
              <w:t>Phase 2: Options Design &amp; Business Case Modeling</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B5241" w14:textId="77777777" w:rsidR="00BF64D4" w:rsidRDefault="00BF64D4" w:rsidP="004C4F22">
            <w:r>
              <w:t>6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F6055" w14:textId="77777777" w:rsidR="00BF64D4" w:rsidRDefault="00BF64D4" w:rsidP="004C4F22">
            <w:r>
              <w:t>5-year financial model and options package complete</w:t>
            </w:r>
          </w:p>
        </w:tc>
      </w:tr>
      <w:tr w:rsidR="00BF64D4" w14:paraId="450471CC"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68097" w14:textId="77777777" w:rsidR="00BF64D4" w:rsidRDefault="00BF64D4" w:rsidP="004C4F22">
            <w:r>
              <w:t>Phase 3: Recommendation, Roadmap &amp; Board Materials</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00FD3" w14:textId="77777777" w:rsidR="00BF64D4" w:rsidRDefault="00BF64D4" w:rsidP="004C4F22">
            <w:r>
              <w:t>3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BEBDE" w14:textId="77777777" w:rsidR="00BF64D4" w:rsidRDefault="00BF64D4" w:rsidP="004C4F22">
            <w:r>
              <w:t xml:space="preserve">Board materials delivered and </w:t>
            </w:r>
            <w:proofErr w:type="gramStart"/>
            <w:r>
              <w:t>dry-run</w:t>
            </w:r>
            <w:proofErr w:type="gramEnd"/>
            <w:r>
              <w:t xml:space="preserve"> completed</w:t>
            </w:r>
          </w:p>
        </w:tc>
      </w:tr>
    </w:tbl>
    <w:p w14:paraId="568E8A41" w14:textId="77777777" w:rsidR="00BF64D4" w:rsidRDefault="00BF64D4" w:rsidP="00BF64D4">
      <w:pPr>
        <w:pStyle w:val="Heading1"/>
      </w:pPr>
      <w:r>
        <w:t>6. Investment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BF64D4" w14:paraId="6398CF2F" w14:textId="77777777" w:rsidTr="004C4F22">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5AD613" w14:textId="77777777" w:rsidR="00BF64D4" w:rsidRDefault="00BF64D4" w:rsidP="004C4F22">
            <w:r>
              <w:rPr>
                <w:b/>
                <w:bCs/>
              </w:rPr>
              <w:t>Phase</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D37768" w14:textId="77777777" w:rsidR="00BF64D4" w:rsidRDefault="00BF64D4" w:rsidP="004C4F22">
            <w:r>
              <w:rPr>
                <w:b/>
                <w:bCs/>
              </w:rPr>
              <w:t>Fees (USD)</w:t>
            </w:r>
          </w:p>
        </w:tc>
      </w:tr>
      <w:tr w:rsidR="00BF64D4" w14:paraId="5A41158C"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12865" w14:textId="77777777" w:rsidR="00BF64D4" w:rsidRDefault="00BF64D4" w:rsidP="004C4F22">
            <w:r>
              <w:t>Phase 1: Current State &amp; Pain Point Assessment</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7A13A" w14:textId="77777777" w:rsidR="00BF64D4" w:rsidRDefault="00BF64D4" w:rsidP="004C4F22">
            <w:r>
              <w:t>$145,000</w:t>
            </w:r>
          </w:p>
        </w:tc>
      </w:tr>
      <w:tr w:rsidR="00BF64D4" w14:paraId="30EC700E"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46FC8" w14:textId="77777777" w:rsidR="00BF64D4" w:rsidRDefault="00BF64D4" w:rsidP="004C4F22">
            <w:r>
              <w:t>Phase 2: Options Design &amp; Business Case Modeling</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10FEB" w14:textId="77777777" w:rsidR="00BF64D4" w:rsidRDefault="00BF64D4" w:rsidP="004C4F22">
            <w:r>
              <w:t>$290,000</w:t>
            </w:r>
          </w:p>
        </w:tc>
      </w:tr>
      <w:tr w:rsidR="00BF64D4" w14:paraId="1B67BA1D"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3A013" w14:textId="77777777" w:rsidR="00BF64D4" w:rsidRDefault="00BF64D4" w:rsidP="004C4F22">
            <w:r>
              <w:t>Phase 3: Recommendation, Roadmap &amp; Board Materials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0F4AF" w14:textId="77777777" w:rsidR="00BF64D4" w:rsidRDefault="00BF64D4" w:rsidP="004C4F22">
            <w:r>
              <w:t>$145,000</w:t>
            </w:r>
          </w:p>
        </w:tc>
      </w:tr>
      <w:tr w:rsidR="00BF64D4" w14:paraId="0197E80D"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BAA85" w14:textId="77777777" w:rsidR="00BF64D4" w:rsidRDefault="00BF64D4" w:rsidP="004C4F22">
            <w:r>
              <w:t>Total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9B52A" w14:textId="77777777" w:rsidR="00BF64D4" w:rsidRDefault="00BF64D4" w:rsidP="004C4F22">
            <w:r>
              <w:t>$580,000</w:t>
            </w:r>
          </w:p>
        </w:tc>
      </w:tr>
    </w:tbl>
    <w:p w14:paraId="3BADDB64" w14:textId="77777777" w:rsidR="00BF64D4" w:rsidRDefault="00BF64D4" w:rsidP="00BF64D4">
      <w:pPr>
        <w:spacing w:after="120"/>
      </w:pPr>
      <w:r>
        <w:t>Fixed-fee engagement billed monthly against milestone completion. Includes all travel. Heritage retains all working models and deliverables under standard IP terms.</w:t>
      </w:r>
    </w:p>
    <w:p w14:paraId="17C66CAA" w14:textId="77777777" w:rsidR="00BF64D4" w:rsidRDefault="00BF64D4" w:rsidP="00BF64D4">
      <w:pPr>
        <w:pStyle w:val="Heading1"/>
      </w:pPr>
      <w:r>
        <w:lastRenderedPageBreak/>
        <w:t>7.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BF64D4" w14:paraId="646C6AFC" w14:textId="77777777" w:rsidTr="004C4F22">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4372D3" w14:textId="77777777" w:rsidR="00BF64D4" w:rsidRDefault="00BF64D4" w:rsidP="004C4F22">
            <w:r>
              <w:rPr>
                <w:b/>
                <w:bCs/>
              </w:rPr>
              <w:t>Risk</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98E3EA" w14:textId="77777777" w:rsidR="00BF64D4" w:rsidRDefault="00BF64D4" w:rsidP="004C4F22">
            <w:r>
              <w:rPr>
                <w:b/>
                <w:bCs/>
              </w:rPr>
              <w:t>Mitigation</w:t>
            </w:r>
          </w:p>
        </w:tc>
      </w:tr>
      <w:tr w:rsidR="00BF64D4" w14:paraId="5CF5E593"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5143BA" w14:textId="77777777" w:rsidR="00BF64D4" w:rsidRDefault="00BF64D4" w:rsidP="004C4F22">
            <w:r>
              <w:t>Stakeholder misalignment between CFO and COO carries into the engagement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00BE9" w14:textId="77777777" w:rsidR="00BF64D4" w:rsidRDefault="00BF64D4" w:rsidP="004C4F22">
            <w:r>
              <w:t>Weekly steering committee with CFO, COO, CEO, and engagement lead; explicit decision-rights map agreed in Week 1; majority/minority opinions captured in the final recommendation rather than papered over.</w:t>
            </w:r>
          </w:p>
        </w:tc>
      </w:tr>
      <w:tr w:rsidR="00BF64D4" w14:paraId="73897947"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522E0" w14:textId="77777777" w:rsidR="00BF64D4" w:rsidRDefault="00BF64D4" w:rsidP="004C4F22">
            <w:r>
              <w:t>Options bias toward the recommendation we believe is correct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7C97D" w14:textId="77777777" w:rsidR="00BF64D4" w:rsidRDefault="00BF64D4" w:rsidP="004C4F22">
            <w:r>
              <w:t>Independent peer review by a Meridian partner not on the engagement; business case assumptions stress-tested by sensitivity analysis on at least four variables.</w:t>
            </w:r>
          </w:p>
        </w:tc>
      </w:tr>
      <w:tr w:rsidR="00BF64D4" w14:paraId="0FF565B6"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E93D2" w14:textId="77777777" w:rsidR="00BF64D4" w:rsidRDefault="00BF64D4" w:rsidP="004C4F22">
            <w:r>
              <w:t>Board calendar pressure forces compressed final phase</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9E93B" w14:textId="77777777" w:rsidR="00BF64D4" w:rsidRDefault="00BF64D4" w:rsidP="004C4F22">
            <w:r>
              <w:t>Milestone-locked timeline with weekly tracking; final materials lock 10 days before board meeting to allow review and dry-run.</w:t>
            </w:r>
          </w:p>
        </w:tc>
      </w:tr>
      <w:tr w:rsidR="00BF64D4" w14:paraId="4ABF8EA1"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BB289" w14:textId="77777777" w:rsidR="00BF64D4" w:rsidRDefault="00BF64D4" w:rsidP="004C4F22">
            <w:r>
              <w:t>Regulator updates expectations during the engagement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D0D2E" w14:textId="77777777" w:rsidR="00BF64D4" w:rsidRDefault="00BF64D4" w:rsidP="004C4F22">
            <w:r>
              <w:t>OCC liaison touchpoint at midpoint to confirm framing; recommendation includes regulatory posture as a first-class evaluation dimension.</w:t>
            </w:r>
          </w:p>
        </w:tc>
      </w:tr>
    </w:tbl>
    <w:p w14:paraId="31CF8623" w14:textId="77777777" w:rsidR="00BF64D4" w:rsidRDefault="00BF64D4" w:rsidP="00BF64D4">
      <w:pPr>
        <w:pStyle w:val="Heading1"/>
      </w:pPr>
      <w:r>
        <w:t>8. Why Meridian</w:t>
      </w:r>
    </w:p>
    <w:p w14:paraId="0159C9C8" w14:textId="77777777" w:rsidR="00BF64D4" w:rsidRDefault="00BF64D4" w:rsidP="00BF64D4">
      <w:pPr>
        <w:spacing w:after="120"/>
      </w:pPr>
      <w:r>
        <w:t>Heritage has options on this work. Here is why we believe Meridian is the right partner.</w:t>
      </w:r>
    </w:p>
    <w:p w14:paraId="6C9EA1B2" w14:textId="77777777" w:rsidR="00BF64D4" w:rsidRDefault="00BF64D4" w:rsidP="00BF64D4">
      <w:pPr>
        <w:pStyle w:val="Heading3"/>
      </w:pPr>
      <w:r>
        <w:t>1. Two community bank core modernization strategies in the past 18 months</w:t>
      </w:r>
    </w:p>
    <w:p w14:paraId="1CAE11AB" w14:textId="77777777" w:rsidR="00BF64D4" w:rsidRDefault="00BF64D4" w:rsidP="00BF64D4">
      <w:pPr>
        <w:spacing w:after="120"/>
      </w:pPr>
      <w:r>
        <w:t>Both delivered on time, both adopted by their boards. References available on request.</w:t>
      </w:r>
    </w:p>
    <w:p w14:paraId="5CE890A1" w14:textId="77777777" w:rsidR="00BF64D4" w:rsidRDefault="00BF64D4" w:rsidP="00BF64D4">
      <w:pPr>
        <w:pStyle w:val="Heading3"/>
      </w:pPr>
      <w:r>
        <w:t>2. Genuinely vendor-agnostic</w:t>
      </w:r>
    </w:p>
    <w:p w14:paraId="61016394" w14:textId="77777777" w:rsidR="00BF64D4" w:rsidRDefault="00BF64D4" w:rsidP="00BF64D4">
      <w:pPr>
        <w:spacing w:after="120"/>
      </w:pPr>
      <w:r>
        <w:t>Meridian does not resell platforms, take vendor referral fees, or have implementation alliances that bias strategy work. The recommendation will reflect what is right for Heritage.</w:t>
      </w:r>
    </w:p>
    <w:p w14:paraId="0D55FE9C" w14:textId="77777777" w:rsidR="00BF64D4" w:rsidRDefault="00BF64D4" w:rsidP="00BF64D4">
      <w:pPr>
        <w:pStyle w:val="Heading3"/>
      </w:pPr>
      <w:r>
        <w:t>3. Senior bench, not analyst-heavy</w:t>
      </w:r>
    </w:p>
    <w:p w14:paraId="371551FB" w14:textId="77777777" w:rsidR="00BF64D4" w:rsidRDefault="00BF64D4" w:rsidP="00BF64D4">
      <w:pPr>
        <w:spacing w:after="120"/>
      </w:pPr>
      <w:r>
        <w:t>Two senior consultants and one senior manager carry the work; analyst time is for modeling support, not narrative drafting. The board sees the senior team in the boardroom.</w:t>
      </w:r>
    </w:p>
    <w:p w14:paraId="47F6E393" w14:textId="77777777" w:rsidR="00BF64D4" w:rsidRDefault="00BF64D4" w:rsidP="00BF64D4">
      <w:pPr>
        <w:pStyle w:val="Heading3"/>
      </w:pPr>
      <w:r>
        <w:t>Relevant case references</w:t>
      </w:r>
    </w:p>
    <w:p w14:paraId="65854CA0" w14:textId="77777777" w:rsidR="00BF64D4" w:rsidRDefault="00BF64D4" w:rsidP="00BF64D4">
      <w:pPr>
        <w:pStyle w:val="ListParagraph"/>
        <w:numPr>
          <w:ilvl w:val="0"/>
          <w:numId w:val="1"/>
        </w:numPr>
        <w:spacing w:after="60"/>
        <w:contextualSpacing w:val="0"/>
      </w:pPr>
      <w:r>
        <w:t xml:space="preserve">Community bank #1 (anonymized) — wrap-and-extend strategy delivered </w:t>
      </w:r>
      <w:proofErr w:type="gramStart"/>
      <w:r>
        <w:t>2024;</w:t>
      </w:r>
      <w:proofErr w:type="gramEnd"/>
      <w:r>
        <w:t xml:space="preserve"> available reference.</w:t>
      </w:r>
    </w:p>
    <w:p w14:paraId="45D9883E" w14:textId="77777777" w:rsidR="00BF64D4" w:rsidRDefault="00BF64D4" w:rsidP="00BF64D4">
      <w:pPr>
        <w:pStyle w:val="ListParagraph"/>
        <w:numPr>
          <w:ilvl w:val="0"/>
          <w:numId w:val="1"/>
        </w:numPr>
        <w:spacing w:after="60"/>
        <w:contextualSpacing w:val="0"/>
      </w:pPr>
      <w:r>
        <w:t xml:space="preserve">Community bank #2 (anonymized) — full </w:t>
      </w:r>
      <w:proofErr w:type="spellStart"/>
      <w:r>
        <w:t>replatform</w:t>
      </w:r>
      <w:proofErr w:type="spellEnd"/>
      <w:r>
        <w:t xml:space="preserve"> strategy and roadmap delivered </w:t>
      </w:r>
      <w:proofErr w:type="gramStart"/>
      <w:r>
        <w:t>2025;</w:t>
      </w:r>
      <w:proofErr w:type="gramEnd"/>
      <w:r>
        <w:t xml:space="preserve"> available reference.</w:t>
      </w:r>
    </w:p>
    <w:p w14:paraId="454C7E80" w14:textId="77777777" w:rsidR="00BF64D4" w:rsidRDefault="00BF64D4" w:rsidP="00BF64D4">
      <w:r>
        <w:br w:type="page"/>
      </w:r>
    </w:p>
    <w:p w14:paraId="229DD562" w14:textId="77777777" w:rsidR="00BF64D4" w:rsidRDefault="00BF64D4" w:rsidP="00BF64D4">
      <w:pPr>
        <w:spacing w:after="240"/>
      </w:pPr>
      <w:r>
        <w:rPr>
          <w:b/>
          <w:bCs/>
          <w:color w:val="C00000"/>
          <w:sz w:val="24"/>
          <w:szCs w:val="24"/>
        </w:rPr>
        <w:lastRenderedPageBreak/>
        <w:t>INTERNAL DOCUMENT — NOT FOR CLIENT DISTRIBUTION</w:t>
      </w:r>
    </w:p>
    <w:p w14:paraId="1C0FE520" w14:textId="77777777" w:rsidR="00BF64D4" w:rsidRDefault="00BF64D4" w:rsidP="00BF64D4">
      <w:pPr>
        <w:pStyle w:val="Heading1"/>
      </w:pPr>
      <w:r>
        <w:t>Internal Win/Loss Review — Lessons Learned</w:t>
      </w:r>
    </w:p>
    <w:p w14:paraId="28D5ABE8" w14:textId="77777777" w:rsidR="00BF64D4" w:rsidRDefault="00BF64D4" w:rsidP="00BF64D4">
      <w:pPr>
        <w:spacing w:after="120"/>
      </w:pPr>
      <w:r>
        <w:t>This section was added after the proposal outcome. It captures the partner-debriefed win/loss review for internal learning. It is not part of the proposal that was submitted to Heritage Federal Savings.</w:t>
      </w:r>
    </w:p>
    <w:p w14:paraId="2830AE5C" w14:textId="77777777" w:rsidR="00BF64D4" w:rsidRDefault="00BF64D4" w:rsidP="00BF64D4">
      <w:pPr>
        <w:pStyle w:val="Heading3"/>
      </w:pPr>
      <w:r>
        <w:t>Outcome</w:t>
      </w:r>
    </w:p>
    <w:p w14:paraId="6E9DD969" w14:textId="77777777" w:rsidR="00BF64D4" w:rsidRDefault="00BF64D4" w:rsidP="00BF64D4">
      <w:pPr>
        <w:spacing w:after="120"/>
      </w:pPr>
      <w:r>
        <w:t>Lost. Decision date: October 13, 2025. Heritage selected Capgemini for the strategy phase, with intent to scope a separate implementation phase after the board reviews the strategy recommendation. Reported Capgemini fee: approximately $720K (versus our $580K).</w:t>
      </w:r>
    </w:p>
    <w:p w14:paraId="38AA70C1" w14:textId="77777777" w:rsidR="00BF64D4" w:rsidRDefault="00BF64D4" w:rsidP="00BF64D4">
      <w:pPr>
        <w:pStyle w:val="Heading3"/>
      </w:pPr>
      <w:r>
        <w:t>What the client said</w:t>
      </w:r>
    </w:p>
    <w:p w14:paraId="7DB46D42" w14:textId="77777777" w:rsidR="00BF64D4" w:rsidRDefault="00BF64D4" w:rsidP="00BF64D4">
      <w:pPr>
        <w:spacing w:after="120"/>
      </w:pPr>
      <w:r>
        <w:t>From the CIO’s debrief call: “Your team was the strongest technically and the team chemistry was best. Our board ultimately wanted a name they could put in front of regulators and investors after the MRA letters. This wasn’t about price.”</w:t>
      </w:r>
    </w:p>
    <w:p w14:paraId="0DD07251" w14:textId="77777777" w:rsidR="00BF64D4" w:rsidRDefault="00BF64D4" w:rsidP="00BF64D4">
      <w:pPr>
        <w:pStyle w:val="Heading3"/>
      </w:pPr>
      <w:r>
        <w:t>Root cause</w:t>
      </w:r>
    </w:p>
    <w:p w14:paraId="10BE5223" w14:textId="77777777" w:rsidR="00BF64D4" w:rsidRDefault="00BF64D4" w:rsidP="00BF64D4">
      <w:pPr>
        <w:spacing w:after="120"/>
      </w:pPr>
      <w:r>
        <w:t>Brand preference at the board level. We were aware going in that the OCC MRA letters had elevated board attention to this evaluation. We underweighted board dynamics versus working-team alignment. Our pricing was competitive ($580K vs roughly $720K). Our team was preferred by working stakeholders. The decision shifted at the board level on perceived regulatory optics.</w:t>
      </w:r>
    </w:p>
    <w:p w14:paraId="7061D1D8" w14:textId="77777777" w:rsidR="00BF64D4" w:rsidRDefault="00BF64D4" w:rsidP="00BF64D4">
      <w:pPr>
        <w:pStyle w:val="Heading3"/>
      </w:pPr>
      <w:r>
        <w:t>What we would do differently</w:t>
      </w:r>
    </w:p>
    <w:p w14:paraId="73BC3018" w14:textId="77777777" w:rsidR="00BF64D4" w:rsidRDefault="00BF64D4" w:rsidP="00BF64D4">
      <w:pPr>
        <w:pStyle w:val="ListParagraph"/>
        <w:numPr>
          <w:ilvl w:val="0"/>
          <w:numId w:val="1"/>
        </w:numPr>
        <w:spacing w:after="60"/>
        <w:contextualSpacing w:val="0"/>
      </w:pPr>
      <w:r>
        <w:t>Engage the board chair and audit committee chair earlier in the pursuit, not just the CEO and CFO. The decision moved to the board, so the board needed to know us as a team before that meeting.</w:t>
      </w:r>
    </w:p>
    <w:p w14:paraId="158E06D3" w14:textId="77777777" w:rsidR="00BF64D4" w:rsidRDefault="00BF64D4" w:rsidP="00BF64D4">
      <w:pPr>
        <w:pStyle w:val="ListParagraph"/>
        <w:numPr>
          <w:ilvl w:val="0"/>
          <w:numId w:val="1"/>
        </w:numPr>
        <w:spacing w:after="60"/>
        <w:contextualSpacing w:val="0"/>
      </w:pPr>
      <w:r>
        <w:t>Lead with regulatory framing, not transformation framing. The MRA context made this a regulatory posture decision more than a modernization decision; we positioned it as the latter.</w:t>
      </w:r>
    </w:p>
    <w:p w14:paraId="04A89B1B" w14:textId="77777777" w:rsidR="00BF64D4" w:rsidRDefault="00BF64D4" w:rsidP="00BF64D4">
      <w:pPr>
        <w:pStyle w:val="ListParagraph"/>
        <w:numPr>
          <w:ilvl w:val="0"/>
          <w:numId w:val="1"/>
        </w:numPr>
        <w:spacing w:after="60"/>
        <w:contextualSpacing w:val="0"/>
      </w:pPr>
      <w:r>
        <w:t>Include two named regulatory references in the proposal, not generic case studies. Heritage’s board was asking “who can we put in front of the OCC?” and we did not answer that question explicitly enough.</w:t>
      </w:r>
    </w:p>
    <w:p w14:paraId="5353151A" w14:textId="77777777" w:rsidR="00BF64D4" w:rsidRDefault="00BF64D4" w:rsidP="00BF64D4">
      <w:pPr>
        <w:pStyle w:val="ListParagraph"/>
        <w:numPr>
          <w:ilvl w:val="0"/>
          <w:numId w:val="1"/>
        </w:numPr>
        <w:spacing w:after="60"/>
        <w:contextualSpacing w:val="0"/>
      </w:pPr>
      <w:r>
        <w:t>For strategy-only board-facing pursuits at clients under active regulatory attention, evaluate co-proposing with an established Big 4 risk advisory partner. We do not have to win these alone, and a structured partnership preserves the implementation pull-through.</w:t>
      </w:r>
    </w:p>
    <w:p w14:paraId="355D6C6C" w14:textId="77777777" w:rsidR="00BF64D4" w:rsidRDefault="00BF64D4" w:rsidP="00BF64D4">
      <w:pPr>
        <w:pStyle w:val="Heading3"/>
      </w:pPr>
      <w:r>
        <w:t>Implications for similar pursuits</w:t>
      </w:r>
    </w:p>
    <w:p w14:paraId="5C154D3D" w14:textId="77777777" w:rsidR="00BF64D4" w:rsidRDefault="00BF64D4" w:rsidP="00BF64D4">
      <w:pPr>
        <w:spacing w:after="120"/>
      </w:pPr>
      <w:r>
        <w:t>Community banks with active regulatory pressure (one or more recent MRA letters) skew toward Big 4 for strategy-only work where board optics dominate. Historical win probability for Meridian on this specific pattern is approximately 25%. We should:</w:t>
      </w:r>
    </w:p>
    <w:p w14:paraId="38410D7A" w14:textId="77777777" w:rsidR="00BF64D4" w:rsidRDefault="00BF64D4" w:rsidP="00BF64D4">
      <w:pPr>
        <w:pStyle w:val="ListParagraph"/>
        <w:numPr>
          <w:ilvl w:val="0"/>
          <w:numId w:val="1"/>
        </w:numPr>
        <w:spacing w:after="60"/>
        <w:contextualSpacing w:val="0"/>
      </w:pPr>
      <w:r>
        <w:t>Qualify these earlier in the sales cycle.</w:t>
      </w:r>
    </w:p>
    <w:p w14:paraId="32AEE5E0" w14:textId="77777777" w:rsidR="00BF64D4" w:rsidRDefault="00BF64D4" w:rsidP="00BF64D4">
      <w:pPr>
        <w:pStyle w:val="ListParagraph"/>
        <w:numPr>
          <w:ilvl w:val="0"/>
          <w:numId w:val="1"/>
        </w:numPr>
        <w:spacing w:after="60"/>
        <w:contextualSpacing w:val="0"/>
      </w:pPr>
      <w:r>
        <w:t>Decide explicitly to (a) decline, (b) co-propose with a Big 4 risk partner, or (c) shift the pursuit to the implementation phase where execution credibility outweighs brand.</w:t>
      </w:r>
    </w:p>
    <w:p w14:paraId="7AB59312" w14:textId="77777777" w:rsidR="00BF64D4" w:rsidRDefault="00BF64D4" w:rsidP="00BF64D4">
      <w:pPr>
        <w:pStyle w:val="ListParagraph"/>
        <w:numPr>
          <w:ilvl w:val="0"/>
          <w:numId w:val="1"/>
        </w:numPr>
        <w:spacing w:after="60"/>
        <w:contextualSpacing w:val="0"/>
      </w:pPr>
      <w:r>
        <w:lastRenderedPageBreak/>
        <w:t>Not pursue these as full-priced standalone strategy pursuits without one of the above adjustments.</w:t>
      </w:r>
    </w:p>
    <w:p w14:paraId="22D80B6F" w14:textId="77777777" w:rsidR="00BF64D4" w:rsidRDefault="00BF64D4" w:rsidP="00BF64D4">
      <w:pPr>
        <w:pStyle w:val="Heading3"/>
      </w:pPr>
      <w:r>
        <w:t>Action items</w:t>
      </w:r>
    </w:p>
    <w:p w14:paraId="553B5865" w14:textId="77777777" w:rsidR="00BF64D4" w:rsidRDefault="00BF64D4" w:rsidP="00BF64D4">
      <w:pPr>
        <w:pStyle w:val="ListParagraph"/>
        <w:numPr>
          <w:ilvl w:val="0"/>
          <w:numId w:val="1"/>
        </w:numPr>
        <w:spacing w:after="60"/>
        <w:contextualSpacing w:val="0"/>
      </w:pPr>
      <w:r>
        <w:t>Helen Marsh: brief the FS practice at the November partner meeting.</w:t>
      </w:r>
    </w:p>
    <w:p w14:paraId="60BB07EF" w14:textId="77777777" w:rsidR="00BF64D4" w:rsidRDefault="00BF64D4" w:rsidP="00BF64D4">
      <w:pPr>
        <w:pStyle w:val="ListParagraph"/>
        <w:numPr>
          <w:ilvl w:val="0"/>
          <w:numId w:val="1"/>
        </w:numPr>
        <w:spacing w:after="60"/>
        <w:contextualSpacing w:val="0"/>
      </w:pPr>
      <w:r>
        <w:t>Tariq Osei: update FS pursuit qualification checklist to include “active regulatory attention” as an explicit qualification dimension.</w:t>
      </w:r>
    </w:p>
    <w:p w14:paraId="022C5596" w14:textId="77777777" w:rsidR="00BF64D4" w:rsidRDefault="00BF64D4" w:rsidP="00BF64D4">
      <w:pPr>
        <w:pStyle w:val="ListParagraph"/>
        <w:numPr>
          <w:ilvl w:val="0"/>
          <w:numId w:val="1"/>
        </w:numPr>
        <w:spacing w:after="60"/>
        <w:contextualSpacing w:val="0"/>
      </w:pPr>
      <w:r>
        <w:t>Marketing: prepare two named regulatory case references suitable for board-facing proposals by end of Q1.</w:t>
      </w:r>
    </w:p>
    <w:p w14:paraId="5141CF87" w14:textId="77777777" w:rsidR="00923E5B" w:rsidRDefault="00923E5B"/>
    <w:sectPr w:rsidR="00923E5B" w:rsidSect="00BF64D4">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54E" w14:textId="77777777" w:rsidR="00BF64D4" w:rsidRDefault="00BF64D4">
    <w:pPr>
      <w:tabs>
        <w:tab w:val="center" w:pos="4680"/>
        <w:tab w:val="right" w:pos="9360"/>
      </w:tabs>
    </w:pPr>
    <w:r>
      <w:rPr>
        <w:color w:val="7F7F7F"/>
        <w:sz w:val="18"/>
        <w:szCs w:val="18"/>
      </w:rPr>
      <w:t xml:space="preserve">Meridian Advisory </w:t>
    </w:r>
    <w:proofErr w:type="gramStart"/>
    <w:r>
      <w:rPr>
        <w:color w:val="7F7F7F"/>
        <w:sz w:val="18"/>
        <w:szCs w:val="18"/>
      </w:rPr>
      <w:t>Group  |</w:t>
    </w:r>
    <w:proofErr w:type="gramEnd"/>
    <w:r>
      <w:rPr>
        <w:color w:val="7F7F7F"/>
        <w:sz w:val="18"/>
        <w:szCs w:val="18"/>
      </w:rPr>
      <w:t xml:space="preserve">  Confidential</w:t>
    </w:r>
    <w:r>
      <w:rPr>
        <w:sz w:val="18"/>
        <w:szCs w:val="18"/>
      </w:rPr>
      <w:tab/>
    </w: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Pr>
        <w:noProof/>
        <w:color w:val="7F7F7F"/>
        <w:sz w:val="18"/>
        <w:szCs w:val="18"/>
      </w:rPr>
      <w:t>2</w:t>
    </w:r>
    <w:r>
      <w:rPr>
        <w:color w:val="7F7F7F"/>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1555" w14:textId="77777777" w:rsidR="00BF64D4" w:rsidRDefault="00BF64D4">
    <w:pPr>
      <w:jc w:val="right"/>
    </w:pPr>
    <w:r>
      <w:rPr>
        <w:color w:val="7F7F7F"/>
        <w:sz w:val="18"/>
        <w:szCs w:val="18"/>
      </w:rPr>
      <w:t>Meridian Advisory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E17"/>
    <w:multiLevelType w:val="hybridMultilevel"/>
    <w:tmpl w:val="FD72B4A8"/>
    <w:lvl w:ilvl="0" w:tplc="1B225C96">
      <w:start w:val="1"/>
      <w:numFmt w:val="bullet"/>
      <w:lvlText w:val="•"/>
      <w:lvlJc w:val="left"/>
      <w:pPr>
        <w:ind w:left="540" w:hanging="270"/>
      </w:pPr>
    </w:lvl>
    <w:lvl w:ilvl="1" w:tplc="7FA0B27E">
      <w:numFmt w:val="decimal"/>
      <w:lvlText w:val=""/>
      <w:lvlJc w:val="left"/>
    </w:lvl>
    <w:lvl w:ilvl="2" w:tplc="3530D718">
      <w:numFmt w:val="decimal"/>
      <w:lvlText w:val=""/>
      <w:lvlJc w:val="left"/>
    </w:lvl>
    <w:lvl w:ilvl="3" w:tplc="5346337C">
      <w:numFmt w:val="decimal"/>
      <w:lvlText w:val=""/>
      <w:lvlJc w:val="left"/>
    </w:lvl>
    <w:lvl w:ilvl="4" w:tplc="6F184A66">
      <w:numFmt w:val="decimal"/>
      <w:lvlText w:val=""/>
      <w:lvlJc w:val="left"/>
    </w:lvl>
    <w:lvl w:ilvl="5" w:tplc="C1FEB8E4">
      <w:numFmt w:val="decimal"/>
      <w:lvlText w:val=""/>
      <w:lvlJc w:val="left"/>
    </w:lvl>
    <w:lvl w:ilvl="6" w:tplc="8D7A14B8">
      <w:numFmt w:val="decimal"/>
      <w:lvlText w:val=""/>
      <w:lvlJc w:val="left"/>
    </w:lvl>
    <w:lvl w:ilvl="7" w:tplc="402C3DFC">
      <w:numFmt w:val="decimal"/>
      <w:lvlText w:val=""/>
      <w:lvlJc w:val="left"/>
    </w:lvl>
    <w:lvl w:ilvl="8" w:tplc="60B6A072">
      <w:numFmt w:val="decimal"/>
      <w:lvlText w:val=""/>
      <w:lvlJc w:val="left"/>
    </w:lvl>
  </w:abstractNum>
  <w:num w:numId="1" w16cid:durableId="1877504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4D4"/>
    <w:rsid w:val="002A4327"/>
    <w:rsid w:val="00552E0D"/>
    <w:rsid w:val="005D68D3"/>
    <w:rsid w:val="00923E5B"/>
    <w:rsid w:val="00AF0184"/>
    <w:rsid w:val="00B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7B239"/>
  <w15:chartTrackingRefBased/>
  <w15:docId w15:val="{A44993C5-E27B-DF44-B79D-563CEC1FF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4D4"/>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F6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6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4D4"/>
    <w:rPr>
      <w:rFonts w:eastAsiaTheme="majorEastAsia" w:cstheme="majorBidi"/>
      <w:color w:val="272727" w:themeColor="text1" w:themeTint="D8"/>
    </w:rPr>
  </w:style>
  <w:style w:type="paragraph" w:styleId="Title">
    <w:name w:val="Title"/>
    <w:basedOn w:val="Normal"/>
    <w:next w:val="Normal"/>
    <w:link w:val="TitleChar"/>
    <w:uiPriority w:val="10"/>
    <w:qFormat/>
    <w:rsid w:val="00BF64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4D4"/>
    <w:pPr>
      <w:spacing w:before="160"/>
      <w:jc w:val="center"/>
    </w:pPr>
    <w:rPr>
      <w:i/>
      <w:iCs/>
      <w:color w:val="404040" w:themeColor="text1" w:themeTint="BF"/>
    </w:rPr>
  </w:style>
  <w:style w:type="character" w:customStyle="1" w:styleId="QuoteChar">
    <w:name w:val="Quote Char"/>
    <w:basedOn w:val="DefaultParagraphFont"/>
    <w:link w:val="Quote"/>
    <w:uiPriority w:val="29"/>
    <w:rsid w:val="00BF64D4"/>
    <w:rPr>
      <w:i/>
      <w:iCs/>
      <w:color w:val="404040" w:themeColor="text1" w:themeTint="BF"/>
    </w:rPr>
  </w:style>
  <w:style w:type="paragraph" w:styleId="ListParagraph">
    <w:name w:val="List Paragraph"/>
    <w:basedOn w:val="Normal"/>
    <w:qFormat/>
    <w:rsid w:val="00BF64D4"/>
    <w:pPr>
      <w:ind w:left="720"/>
      <w:contextualSpacing/>
    </w:pPr>
  </w:style>
  <w:style w:type="character" w:styleId="IntenseEmphasis">
    <w:name w:val="Intense Emphasis"/>
    <w:basedOn w:val="DefaultParagraphFont"/>
    <w:uiPriority w:val="21"/>
    <w:qFormat/>
    <w:rsid w:val="00BF64D4"/>
    <w:rPr>
      <w:i/>
      <w:iCs/>
      <w:color w:val="0F4761" w:themeColor="accent1" w:themeShade="BF"/>
    </w:rPr>
  </w:style>
  <w:style w:type="paragraph" w:styleId="IntenseQuote">
    <w:name w:val="Intense Quote"/>
    <w:basedOn w:val="Normal"/>
    <w:next w:val="Normal"/>
    <w:link w:val="IntenseQuoteChar"/>
    <w:uiPriority w:val="30"/>
    <w:qFormat/>
    <w:rsid w:val="00BF6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4D4"/>
    <w:rPr>
      <w:i/>
      <w:iCs/>
      <w:color w:val="0F4761" w:themeColor="accent1" w:themeShade="BF"/>
    </w:rPr>
  </w:style>
  <w:style w:type="character" w:styleId="IntenseReference">
    <w:name w:val="Intense Reference"/>
    <w:basedOn w:val="DefaultParagraphFont"/>
    <w:uiPriority w:val="32"/>
    <w:qFormat/>
    <w:rsid w:val="00BF6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1587</Words>
  <Characters>9602</Characters>
  <Application>Microsoft Office Word</Application>
  <DocSecurity>0</DocSecurity>
  <Lines>249</Lines>
  <Paragraphs>155</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2026-05-26T14:09:00Z</dcterms:created>
  <dcterms:modified xsi:type="dcterms:W3CDTF">2026-05-26T14:10:00Z</dcterms:modified>
</cp:coreProperties>
</file>