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4E2DF" w14:textId="77777777" w:rsidR="008E2876" w:rsidRDefault="008E2876" w:rsidP="008E2876">
      <w:r>
        <w:rPr>
          <w:b/>
          <w:color w:val="1B3A5C"/>
          <w:sz w:val="20"/>
        </w:rPr>
        <w:t>MERIDIAN ADVISORY GROUP</w:t>
      </w:r>
    </w:p>
    <w:p w14:paraId="7AE03F87" w14:textId="77777777" w:rsidR="008E2876" w:rsidRDefault="008E2876" w:rsidP="008E2876">
      <w:pPr>
        <w:pStyle w:val="Heading1"/>
      </w:pPr>
      <w:r>
        <w:t>Case Study: Apex Financial Group</w:t>
      </w:r>
    </w:p>
    <w:p w14:paraId="07F218EE" w14:textId="77777777" w:rsidR="008E2876" w:rsidRDefault="008E2876" w:rsidP="008E2876">
      <w:r>
        <w:rPr>
          <w:i/>
          <w:color w:val="666666"/>
          <w:sz w:val="24"/>
        </w:rPr>
        <w:t>Enterprise Data Platform &amp; AI-Driven Risk Analytics</w:t>
      </w:r>
    </w:p>
    <w:p w14:paraId="6DB311BD" w14:textId="77777777" w:rsidR="008E2876" w:rsidRDefault="008E2876" w:rsidP="008E2876">
      <w:r>
        <w:rPr>
          <w:color w:val="999999"/>
          <w:sz w:val="16"/>
        </w:rPr>
        <w:t>EXTERNAL — APPROVED FOR PROPOSALS (Client-approved Feb 2026)</w:t>
      </w:r>
    </w:p>
    <w:p w14:paraId="09BC711B" w14:textId="77777777" w:rsidR="008E2876" w:rsidRDefault="008E2876" w:rsidP="008E2876"/>
    <w:p w14:paraId="1D4BCC70" w14:textId="77777777" w:rsidR="008E2876" w:rsidRDefault="008E2876" w:rsidP="008E2876">
      <w:pPr>
        <w:pStyle w:val="Heading2"/>
      </w:pPr>
      <w:r>
        <w:t>Client Overview</w:t>
      </w:r>
    </w:p>
    <w:p w14:paraId="7FEE9DEE" w14:textId="77777777" w:rsidR="008E2876" w:rsidRDefault="008E2876" w:rsidP="008E2876">
      <w:r>
        <w:t>Apex Financial Group is a $12B regional banking and wealth management firm headquartered in Charlotte, NC, with 180 branches across the Southeast United States. Apex operates retail banking, commercial lending, wealth management, and insurance lines of business.</w:t>
      </w:r>
    </w:p>
    <w:p w14:paraId="002DAAFA" w14:textId="77777777" w:rsidR="008E2876" w:rsidRDefault="008E2876" w:rsidP="008E2876">
      <w:pPr>
        <w:pStyle w:val="Heading2"/>
      </w:pPr>
      <w:r>
        <w:t>The Challenge</w:t>
      </w:r>
    </w:p>
    <w:p w14:paraId="7304E181" w14:textId="77777777" w:rsidR="008E2876" w:rsidRDefault="008E2876" w:rsidP="008E2876">
      <w:r>
        <w:t>Apex was operating on a fragmented data landscape with 14 separate data repositories across business lines, no unified customer view, and risk analytics dependent on manual Excel models that took 3 weeks to produce quarterly reports. The CFO had identified $45M in potential credit losses that were invisible to the existing risk framework. Regulatory pressure from OCC examiners citing data quality deficiencies in the most recent examination added urgency.</w:t>
      </w:r>
    </w:p>
    <w:p w14:paraId="1D4C03E8" w14:textId="77777777" w:rsidR="008E2876" w:rsidRDefault="008E2876" w:rsidP="008E2876">
      <w:pPr>
        <w:pStyle w:val="Heading2"/>
      </w:pPr>
      <w:r>
        <w:t>What We Did</w:t>
      </w:r>
    </w:p>
    <w:p w14:paraId="083EAEAE" w14:textId="77777777" w:rsidR="008E2876" w:rsidRDefault="008E2876" w:rsidP="008E2876">
      <w:r>
        <w:t>Meridian delivered a 20-week engagement across three workstreams:</w:t>
      </w:r>
    </w:p>
    <w:p w14:paraId="67C0030E" w14:textId="77777777" w:rsidR="008E2876" w:rsidRDefault="008E2876" w:rsidP="008E2876">
      <w:pPr>
        <w:pStyle w:val="Heading3"/>
      </w:pPr>
      <w:r>
        <w:t>Workstream 1: Enterprise Data Platform (Azure)</w:t>
      </w:r>
    </w:p>
    <w:p w14:paraId="4C42129E" w14:textId="77777777" w:rsidR="008E2876" w:rsidRDefault="008E2876" w:rsidP="008E2876">
      <w:r>
        <w:t>Designed and implemented a unified data platform on Azure Data Lake Gen2 with Azure Synapse Analytics, consolidating 14 data sources into a governed, single-source-of-truth architecture. Implemented data quality rules, lineage tracking, and automated ingestion pipelines using Azure Data Factory.</w:t>
      </w:r>
    </w:p>
    <w:p w14:paraId="1DD10BC5" w14:textId="77777777" w:rsidR="008E2876" w:rsidRDefault="008E2876" w:rsidP="008E2876">
      <w:pPr>
        <w:pStyle w:val="Heading3"/>
      </w:pPr>
      <w:r>
        <w:t>Workstream 2: AI-Driven Risk Analytics</w:t>
      </w:r>
    </w:p>
    <w:p w14:paraId="77BD4C45" w14:textId="77777777" w:rsidR="008E2876" w:rsidRDefault="008E2876" w:rsidP="008E2876">
      <w:r>
        <w:t>Built machine learning models for credit risk scoring, early warning detection, and portfolio concentration analysis using Azure Machine Learning. Models were trained on 7 years of historical data and validated against known loss events. Deployed as real-time scoring APIs integrated into the loan origination workflow.</w:t>
      </w:r>
    </w:p>
    <w:p w14:paraId="3423ECC0" w14:textId="77777777" w:rsidR="008E2876" w:rsidRDefault="008E2876" w:rsidP="008E2876">
      <w:pPr>
        <w:pStyle w:val="Heading3"/>
      </w:pPr>
      <w:r>
        <w:t>Workstream 3: Executive Analytics &amp; Reporting</w:t>
      </w:r>
    </w:p>
    <w:p w14:paraId="613E5AFD" w14:textId="77777777" w:rsidR="008E2876" w:rsidRDefault="008E2876" w:rsidP="008E2876">
      <w:r>
        <w:t>Delivered a Power BI executive dashboard suite providing real-time visibility into credit portfolio health, concentration risk, regulatory capital adequacy, and early warning indicators. Replaced 23 manual Excel reports with automated, governed analytics.</w:t>
      </w:r>
    </w:p>
    <w:p w14:paraId="30358290" w14:textId="77777777" w:rsidR="008E2876" w:rsidRDefault="008E2876" w:rsidP="008E2876">
      <w:pPr>
        <w:pStyle w:val="Heading2"/>
      </w:pPr>
      <w:r>
        <w:lastRenderedPageBreak/>
        <w:t>Results</w:t>
      </w:r>
    </w:p>
    <w:tbl>
      <w:tblPr>
        <w:tblStyle w:val="LightShading-Accent1"/>
        <w:tblW w:w="0" w:type="auto"/>
        <w:tblLook w:val="04A0" w:firstRow="1" w:lastRow="0" w:firstColumn="1" w:lastColumn="0" w:noHBand="0" w:noVBand="1"/>
      </w:tblPr>
      <w:tblGrid>
        <w:gridCol w:w="2351"/>
        <w:gridCol w:w="2351"/>
        <w:gridCol w:w="2351"/>
        <w:gridCol w:w="2351"/>
      </w:tblGrid>
      <w:tr w:rsidR="008E2876" w14:paraId="662488A0" w14:textId="77777777" w:rsidTr="004C4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FDEA24F" w14:textId="77777777" w:rsidR="008E2876" w:rsidRDefault="008E2876" w:rsidP="004C4F22">
            <w:r>
              <w:t>Metric</w:t>
            </w:r>
          </w:p>
        </w:tc>
        <w:tc>
          <w:tcPr>
            <w:tcW w:w="2351" w:type="dxa"/>
          </w:tcPr>
          <w:p w14:paraId="6B057BED" w14:textId="77777777" w:rsidR="008E2876" w:rsidRDefault="008E2876" w:rsidP="004C4F22">
            <w:pPr>
              <w:cnfStyle w:val="100000000000" w:firstRow="1" w:lastRow="0" w:firstColumn="0" w:lastColumn="0" w:oddVBand="0" w:evenVBand="0" w:oddHBand="0" w:evenHBand="0" w:firstRowFirstColumn="0" w:firstRowLastColumn="0" w:lastRowFirstColumn="0" w:lastRowLastColumn="0"/>
            </w:pPr>
            <w:r>
              <w:t>Before</w:t>
            </w:r>
          </w:p>
        </w:tc>
        <w:tc>
          <w:tcPr>
            <w:tcW w:w="2351" w:type="dxa"/>
          </w:tcPr>
          <w:p w14:paraId="4C701B06" w14:textId="77777777" w:rsidR="008E2876" w:rsidRDefault="008E2876" w:rsidP="004C4F22">
            <w:pPr>
              <w:cnfStyle w:val="100000000000" w:firstRow="1" w:lastRow="0" w:firstColumn="0" w:lastColumn="0" w:oddVBand="0" w:evenVBand="0" w:oddHBand="0" w:evenHBand="0" w:firstRowFirstColumn="0" w:firstRowLastColumn="0" w:lastRowFirstColumn="0" w:lastRowLastColumn="0"/>
            </w:pPr>
            <w:r>
              <w:t>After</w:t>
            </w:r>
          </w:p>
        </w:tc>
        <w:tc>
          <w:tcPr>
            <w:tcW w:w="2351" w:type="dxa"/>
          </w:tcPr>
          <w:p w14:paraId="03C98CA0" w14:textId="77777777" w:rsidR="008E2876" w:rsidRDefault="008E2876" w:rsidP="004C4F22">
            <w:pPr>
              <w:cnfStyle w:val="100000000000" w:firstRow="1" w:lastRow="0" w:firstColumn="0" w:lastColumn="0" w:oddVBand="0" w:evenVBand="0" w:oddHBand="0" w:evenHBand="0" w:firstRowFirstColumn="0" w:firstRowLastColumn="0" w:lastRowFirstColumn="0" w:lastRowLastColumn="0"/>
            </w:pPr>
            <w:r>
              <w:t>Impact</w:t>
            </w:r>
          </w:p>
        </w:tc>
      </w:tr>
      <w:tr w:rsidR="008E2876" w14:paraId="35B70ACB"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29A4C4D" w14:textId="77777777" w:rsidR="008E2876" w:rsidRDefault="008E2876" w:rsidP="004C4F22">
            <w:r>
              <w:t>Time to quarterly risk report</w:t>
            </w:r>
          </w:p>
        </w:tc>
        <w:tc>
          <w:tcPr>
            <w:tcW w:w="2351" w:type="dxa"/>
          </w:tcPr>
          <w:p w14:paraId="146DE836"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3 weeks</w:t>
            </w:r>
          </w:p>
        </w:tc>
        <w:tc>
          <w:tcPr>
            <w:tcW w:w="2351" w:type="dxa"/>
          </w:tcPr>
          <w:p w14:paraId="577228F9"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Real-time dashboard</w:t>
            </w:r>
          </w:p>
        </w:tc>
        <w:tc>
          <w:tcPr>
            <w:tcW w:w="2351" w:type="dxa"/>
          </w:tcPr>
          <w:p w14:paraId="519AABA0"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95% reduction</w:t>
            </w:r>
          </w:p>
        </w:tc>
      </w:tr>
      <w:tr w:rsidR="008E2876" w14:paraId="3C1163EC" w14:textId="77777777" w:rsidTr="004C4F22">
        <w:tc>
          <w:tcPr>
            <w:cnfStyle w:val="001000000000" w:firstRow="0" w:lastRow="0" w:firstColumn="1" w:lastColumn="0" w:oddVBand="0" w:evenVBand="0" w:oddHBand="0" w:evenHBand="0" w:firstRowFirstColumn="0" w:firstRowLastColumn="0" w:lastRowFirstColumn="0" w:lastRowLastColumn="0"/>
            <w:tcW w:w="2351" w:type="dxa"/>
          </w:tcPr>
          <w:p w14:paraId="4A25D647" w14:textId="77777777" w:rsidR="008E2876" w:rsidRDefault="008E2876" w:rsidP="004C4F22">
            <w:r>
              <w:t>Credit loss early warning</w:t>
            </w:r>
          </w:p>
        </w:tc>
        <w:tc>
          <w:tcPr>
            <w:tcW w:w="2351" w:type="dxa"/>
          </w:tcPr>
          <w:p w14:paraId="289A350A" w14:textId="77777777" w:rsidR="008E2876" w:rsidRDefault="008E2876" w:rsidP="004C4F22">
            <w:pPr>
              <w:cnfStyle w:val="000000000000" w:firstRow="0" w:lastRow="0" w:firstColumn="0" w:lastColumn="0" w:oddVBand="0" w:evenVBand="0" w:oddHBand="0" w:evenHBand="0" w:firstRowFirstColumn="0" w:firstRowLastColumn="0" w:lastRowFirstColumn="0" w:lastRowLastColumn="0"/>
            </w:pPr>
            <w:r>
              <w:t>Post-event (30+ days)</w:t>
            </w:r>
          </w:p>
        </w:tc>
        <w:tc>
          <w:tcPr>
            <w:tcW w:w="2351" w:type="dxa"/>
          </w:tcPr>
          <w:p w14:paraId="3EF192E8" w14:textId="77777777" w:rsidR="008E2876" w:rsidRDefault="008E2876" w:rsidP="004C4F22">
            <w:pPr>
              <w:cnfStyle w:val="000000000000" w:firstRow="0" w:lastRow="0" w:firstColumn="0" w:lastColumn="0" w:oddVBand="0" w:evenVBand="0" w:oddHBand="0" w:evenHBand="0" w:firstRowFirstColumn="0" w:firstRowLastColumn="0" w:lastRowFirstColumn="0" w:lastRowLastColumn="0"/>
            </w:pPr>
            <w:r>
              <w:t>14-day predictive</w:t>
            </w:r>
          </w:p>
        </w:tc>
        <w:tc>
          <w:tcPr>
            <w:tcW w:w="2351" w:type="dxa"/>
          </w:tcPr>
          <w:p w14:paraId="549D92B1" w14:textId="77777777" w:rsidR="008E2876" w:rsidRDefault="008E2876" w:rsidP="004C4F22">
            <w:pPr>
              <w:cnfStyle w:val="000000000000" w:firstRow="0" w:lastRow="0" w:firstColumn="0" w:lastColumn="0" w:oddVBand="0" w:evenVBand="0" w:oddHBand="0" w:evenHBand="0" w:firstRowFirstColumn="0" w:firstRowLastColumn="0" w:lastRowFirstColumn="0" w:lastRowLastColumn="0"/>
            </w:pPr>
            <w:r>
              <w:t>Identified $18M in at-risk exposure before loss</w:t>
            </w:r>
          </w:p>
        </w:tc>
      </w:tr>
      <w:tr w:rsidR="008E2876" w14:paraId="16306F66"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233237D" w14:textId="77777777" w:rsidR="008E2876" w:rsidRDefault="008E2876" w:rsidP="004C4F22">
            <w:r>
              <w:t>Data quality score (OCC)</w:t>
            </w:r>
          </w:p>
        </w:tc>
        <w:tc>
          <w:tcPr>
            <w:tcW w:w="2351" w:type="dxa"/>
          </w:tcPr>
          <w:p w14:paraId="7EE52236"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62%</w:t>
            </w:r>
          </w:p>
        </w:tc>
        <w:tc>
          <w:tcPr>
            <w:tcW w:w="2351" w:type="dxa"/>
          </w:tcPr>
          <w:p w14:paraId="375E6D7A"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94%</w:t>
            </w:r>
          </w:p>
        </w:tc>
        <w:tc>
          <w:tcPr>
            <w:tcW w:w="2351" w:type="dxa"/>
          </w:tcPr>
          <w:p w14:paraId="3C9AB577"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Cleared regulatory finding</w:t>
            </w:r>
          </w:p>
        </w:tc>
      </w:tr>
      <w:tr w:rsidR="008E2876" w14:paraId="2D249383" w14:textId="77777777" w:rsidTr="004C4F22">
        <w:tc>
          <w:tcPr>
            <w:cnfStyle w:val="001000000000" w:firstRow="0" w:lastRow="0" w:firstColumn="1" w:lastColumn="0" w:oddVBand="0" w:evenVBand="0" w:oddHBand="0" w:evenHBand="0" w:firstRowFirstColumn="0" w:firstRowLastColumn="0" w:lastRowFirstColumn="0" w:lastRowLastColumn="0"/>
            <w:tcW w:w="2351" w:type="dxa"/>
          </w:tcPr>
          <w:p w14:paraId="5B2E5560" w14:textId="77777777" w:rsidR="008E2876" w:rsidRDefault="008E2876" w:rsidP="004C4F22">
            <w:r>
              <w:t>Manual reporting hours/quarter</w:t>
            </w:r>
          </w:p>
        </w:tc>
        <w:tc>
          <w:tcPr>
            <w:tcW w:w="2351" w:type="dxa"/>
          </w:tcPr>
          <w:p w14:paraId="1B8E1BFE" w14:textId="77777777" w:rsidR="008E2876" w:rsidRDefault="008E2876" w:rsidP="004C4F22">
            <w:pPr>
              <w:cnfStyle w:val="000000000000" w:firstRow="0" w:lastRow="0" w:firstColumn="0" w:lastColumn="0" w:oddVBand="0" w:evenVBand="0" w:oddHBand="0" w:evenHBand="0" w:firstRowFirstColumn="0" w:firstRowLastColumn="0" w:lastRowFirstColumn="0" w:lastRowLastColumn="0"/>
            </w:pPr>
            <w:r>
              <w:t>2,400 hours</w:t>
            </w:r>
          </w:p>
        </w:tc>
        <w:tc>
          <w:tcPr>
            <w:tcW w:w="2351" w:type="dxa"/>
          </w:tcPr>
          <w:p w14:paraId="35D4AA21" w14:textId="77777777" w:rsidR="008E2876" w:rsidRDefault="008E2876" w:rsidP="004C4F22">
            <w:pPr>
              <w:cnfStyle w:val="000000000000" w:firstRow="0" w:lastRow="0" w:firstColumn="0" w:lastColumn="0" w:oddVBand="0" w:evenVBand="0" w:oddHBand="0" w:evenHBand="0" w:firstRowFirstColumn="0" w:firstRowLastColumn="0" w:lastRowFirstColumn="0" w:lastRowLastColumn="0"/>
            </w:pPr>
            <w:r>
              <w:t>180 hours</w:t>
            </w:r>
          </w:p>
        </w:tc>
        <w:tc>
          <w:tcPr>
            <w:tcW w:w="2351" w:type="dxa"/>
          </w:tcPr>
          <w:p w14:paraId="3A8F7913" w14:textId="77777777" w:rsidR="008E2876" w:rsidRDefault="008E2876" w:rsidP="004C4F22">
            <w:pPr>
              <w:cnfStyle w:val="000000000000" w:firstRow="0" w:lastRow="0" w:firstColumn="0" w:lastColumn="0" w:oddVBand="0" w:evenVBand="0" w:oddHBand="0" w:evenHBand="0" w:firstRowFirstColumn="0" w:firstRowLastColumn="0" w:lastRowFirstColumn="0" w:lastRowLastColumn="0"/>
            </w:pPr>
            <w:r>
              <w:t>92% reduction</w:t>
            </w:r>
          </w:p>
        </w:tc>
      </w:tr>
      <w:tr w:rsidR="008E2876" w14:paraId="670AA10D"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F3BD89C" w14:textId="77777777" w:rsidR="008E2876" w:rsidRDefault="008E2876" w:rsidP="004C4F22">
            <w:r>
              <w:t>Customer data unification</w:t>
            </w:r>
          </w:p>
        </w:tc>
        <w:tc>
          <w:tcPr>
            <w:tcW w:w="2351" w:type="dxa"/>
          </w:tcPr>
          <w:p w14:paraId="65F1D893"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14 siloed repositories</w:t>
            </w:r>
          </w:p>
        </w:tc>
        <w:tc>
          <w:tcPr>
            <w:tcW w:w="2351" w:type="dxa"/>
          </w:tcPr>
          <w:p w14:paraId="0A0E5BA5"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Single platform</w:t>
            </w:r>
          </w:p>
        </w:tc>
        <w:tc>
          <w:tcPr>
            <w:tcW w:w="2351" w:type="dxa"/>
          </w:tcPr>
          <w:p w14:paraId="63DE6D0E"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First unified customer view in firm history</w:t>
            </w:r>
          </w:p>
        </w:tc>
      </w:tr>
    </w:tbl>
    <w:p w14:paraId="1DD1704D" w14:textId="77777777" w:rsidR="008E2876" w:rsidRDefault="008E2876" w:rsidP="008E2876"/>
    <w:p w14:paraId="06CE0820" w14:textId="77777777" w:rsidR="008E2876" w:rsidRDefault="008E2876" w:rsidP="008E2876">
      <w:pPr>
        <w:pStyle w:val="Heading2"/>
      </w:pPr>
      <w:r>
        <w:t>Client Testimonial</w:t>
      </w:r>
    </w:p>
    <w:p w14:paraId="291A7869" w14:textId="77777777" w:rsidR="008E2876" w:rsidRDefault="008E2876" w:rsidP="008E2876">
      <w:r>
        <w:t>"Meridian didn't just build us a data platform — they fundamentally changed how we understand risk. The early warning system identified a $18M concentration exposure in our commercial real estate portfolio that our existing models completely missed. That alone paid for the entire engagement three times over."</w:t>
      </w:r>
    </w:p>
    <w:p w14:paraId="778A243D" w14:textId="77777777" w:rsidR="008E2876" w:rsidRDefault="008E2876" w:rsidP="008E2876">
      <w:r>
        <w:rPr>
          <w:i/>
        </w:rPr>
        <w:t>— Sarah Chen, CFO, Apex Financial Group</w:t>
      </w:r>
    </w:p>
    <w:p w14:paraId="099D3F09" w14:textId="77777777" w:rsidR="008E2876" w:rsidRDefault="008E2876" w:rsidP="008E2876">
      <w:pPr>
        <w:pStyle w:val="Heading2"/>
      </w:pPr>
      <w:r>
        <w:t>Engagement Details</w:t>
      </w:r>
    </w:p>
    <w:tbl>
      <w:tblPr>
        <w:tblStyle w:val="LightShading-Accent1"/>
        <w:tblW w:w="0" w:type="auto"/>
        <w:tblLook w:val="04A0" w:firstRow="1" w:lastRow="0" w:firstColumn="1" w:lastColumn="0" w:noHBand="0" w:noVBand="1"/>
      </w:tblPr>
      <w:tblGrid>
        <w:gridCol w:w="4703"/>
        <w:gridCol w:w="4703"/>
      </w:tblGrid>
      <w:tr w:rsidR="008E2876" w14:paraId="5076DF76" w14:textId="77777777" w:rsidTr="004C4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087EDF2" w14:textId="77777777" w:rsidR="008E2876" w:rsidRDefault="008E2876" w:rsidP="004C4F22">
            <w:r>
              <w:t>Parameter</w:t>
            </w:r>
          </w:p>
        </w:tc>
        <w:tc>
          <w:tcPr>
            <w:tcW w:w="4703" w:type="dxa"/>
          </w:tcPr>
          <w:p w14:paraId="29C0472A" w14:textId="77777777" w:rsidR="008E2876" w:rsidRDefault="008E2876" w:rsidP="004C4F22">
            <w:pPr>
              <w:cnfStyle w:val="100000000000" w:firstRow="1" w:lastRow="0" w:firstColumn="0" w:lastColumn="0" w:oddVBand="0" w:evenVBand="0" w:oddHBand="0" w:evenHBand="0" w:firstRowFirstColumn="0" w:firstRowLastColumn="0" w:lastRowFirstColumn="0" w:lastRowLastColumn="0"/>
            </w:pPr>
            <w:r>
              <w:t>Detail</w:t>
            </w:r>
          </w:p>
        </w:tc>
      </w:tr>
      <w:tr w:rsidR="008E2876" w14:paraId="0880E727"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B679D76" w14:textId="77777777" w:rsidR="008E2876" w:rsidRDefault="008E2876" w:rsidP="004C4F22">
            <w:r>
              <w:t>Duration</w:t>
            </w:r>
          </w:p>
        </w:tc>
        <w:tc>
          <w:tcPr>
            <w:tcW w:w="4703" w:type="dxa"/>
          </w:tcPr>
          <w:p w14:paraId="5110B1C6"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20 weeks</w:t>
            </w:r>
          </w:p>
        </w:tc>
      </w:tr>
      <w:tr w:rsidR="008E2876" w14:paraId="1ACF789A"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54307E10" w14:textId="77777777" w:rsidR="008E2876" w:rsidRDefault="008E2876" w:rsidP="004C4F22">
            <w:r>
              <w:t>Team size</w:t>
            </w:r>
          </w:p>
        </w:tc>
        <w:tc>
          <w:tcPr>
            <w:tcW w:w="4703" w:type="dxa"/>
          </w:tcPr>
          <w:p w14:paraId="6360FCCF" w14:textId="77777777" w:rsidR="008E2876" w:rsidRDefault="008E2876" w:rsidP="004C4F22">
            <w:pPr>
              <w:cnfStyle w:val="000000000000" w:firstRow="0" w:lastRow="0" w:firstColumn="0" w:lastColumn="0" w:oddVBand="0" w:evenVBand="0" w:oddHBand="0" w:evenHBand="0" w:firstRowFirstColumn="0" w:firstRowLastColumn="0" w:lastRowFirstColumn="0" w:lastRowLastColumn="0"/>
            </w:pPr>
            <w:r>
              <w:t>8 Meridian consultants (2 partners, 2 senior managers, 3 consultants, 1 data engineer)</w:t>
            </w:r>
          </w:p>
        </w:tc>
      </w:tr>
      <w:tr w:rsidR="008E2876" w14:paraId="6E0CD77E"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45278E6" w14:textId="77777777" w:rsidR="008E2876" w:rsidRDefault="008E2876" w:rsidP="004C4F22">
            <w:r>
              <w:t>Engagement value</w:t>
            </w:r>
          </w:p>
        </w:tc>
        <w:tc>
          <w:tcPr>
            <w:tcW w:w="4703" w:type="dxa"/>
          </w:tcPr>
          <w:p w14:paraId="0AF4D7F0"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$1.8M</w:t>
            </w:r>
          </w:p>
        </w:tc>
      </w:tr>
      <w:tr w:rsidR="008E2876" w14:paraId="6AEA7840"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7DB3FDA6" w14:textId="77777777" w:rsidR="008E2876" w:rsidRDefault="008E2876" w:rsidP="004C4F22">
            <w:r>
              <w:t>Technology stack</w:t>
            </w:r>
          </w:p>
        </w:tc>
        <w:tc>
          <w:tcPr>
            <w:tcW w:w="4703" w:type="dxa"/>
          </w:tcPr>
          <w:p w14:paraId="7D16B353" w14:textId="77777777" w:rsidR="008E2876" w:rsidRDefault="008E2876" w:rsidP="004C4F22">
            <w:pPr>
              <w:cnfStyle w:val="000000000000" w:firstRow="0" w:lastRow="0" w:firstColumn="0" w:lastColumn="0" w:oddVBand="0" w:evenVBand="0" w:oddHBand="0" w:evenHBand="0" w:firstRowFirstColumn="0" w:firstRowLastColumn="0" w:lastRowFirstColumn="0" w:lastRowLastColumn="0"/>
            </w:pPr>
            <w:r>
              <w:t>Azure Data Lake Gen2, Azure Synapse, Azure ML, Power BI, Azure Data Factory</w:t>
            </w:r>
          </w:p>
        </w:tc>
      </w:tr>
      <w:tr w:rsidR="008E2876" w14:paraId="53DEB492"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0142E41" w14:textId="77777777" w:rsidR="008E2876" w:rsidRDefault="008E2876" w:rsidP="004C4F22">
            <w:r>
              <w:t>Service line</w:t>
            </w:r>
          </w:p>
        </w:tc>
        <w:tc>
          <w:tcPr>
            <w:tcW w:w="4703" w:type="dxa"/>
          </w:tcPr>
          <w:p w14:paraId="613F48F4" w14:textId="77777777" w:rsidR="008E2876" w:rsidRDefault="008E2876" w:rsidP="004C4F22">
            <w:pPr>
              <w:cnfStyle w:val="000000100000" w:firstRow="0" w:lastRow="0" w:firstColumn="0" w:lastColumn="0" w:oddVBand="0" w:evenVBand="0" w:oddHBand="1" w:evenHBand="0" w:firstRowFirstColumn="0" w:firstRowLastColumn="0" w:lastRowFirstColumn="0" w:lastRowLastColumn="0"/>
            </w:pPr>
            <w:r>
              <w:t>Data &amp; AI Advisory + Technology Implementation</w:t>
            </w:r>
          </w:p>
        </w:tc>
      </w:tr>
      <w:tr w:rsidR="008E2876" w14:paraId="37F9BC43"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21C22F84" w14:textId="77777777" w:rsidR="008E2876" w:rsidRDefault="008E2876" w:rsidP="004C4F22">
            <w:r>
              <w:lastRenderedPageBreak/>
              <w:t>Industry</w:t>
            </w:r>
          </w:p>
        </w:tc>
        <w:tc>
          <w:tcPr>
            <w:tcW w:w="4703" w:type="dxa"/>
          </w:tcPr>
          <w:p w14:paraId="31A592B3" w14:textId="77777777" w:rsidR="008E2876" w:rsidRDefault="008E2876" w:rsidP="004C4F22">
            <w:pPr>
              <w:cnfStyle w:val="000000000000" w:firstRow="0" w:lastRow="0" w:firstColumn="0" w:lastColumn="0" w:oddVBand="0" w:evenVBand="0" w:oddHBand="0" w:evenHBand="0" w:firstRowFirstColumn="0" w:firstRowLastColumn="0" w:lastRowFirstColumn="0" w:lastRowLastColumn="0"/>
            </w:pPr>
            <w:r>
              <w:t>Financial Services — Banking</w:t>
            </w:r>
          </w:p>
        </w:tc>
      </w:tr>
    </w:tbl>
    <w:p w14:paraId="02B82B03" w14:textId="77777777" w:rsidR="008E2876" w:rsidRDefault="008E2876" w:rsidP="008E2876"/>
    <w:p w14:paraId="6C545C3E" w14:textId="77777777" w:rsidR="00923E5B" w:rsidRDefault="00923E5B"/>
    <w:sectPr w:rsidR="00923E5B" w:rsidSect="008E287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76"/>
    <w:rsid w:val="002A4327"/>
    <w:rsid w:val="00552E0D"/>
    <w:rsid w:val="005D68D3"/>
    <w:rsid w:val="00617942"/>
    <w:rsid w:val="008E2876"/>
    <w:rsid w:val="00923E5B"/>
    <w:rsid w:val="00AF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44D1D4"/>
  <w15:chartTrackingRefBased/>
  <w15:docId w15:val="{5EC67E9D-4D1D-5945-84D9-15C966B8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876"/>
    <w:pPr>
      <w:spacing w:after="200" w:line="276" w:lineRule="auto"/>
    </w:pPr>
    <w:rPr>
      <w:rFonts w:ascii="Calibri" w:eastAsiaTheme="minorEastAsia" w:hAnsi="Calibri"/>
      <w:color w:val="333333"/>
      <w:kern w:val="0"/>
      <w:sz w:val="22"/>
      <w:szCs w:val="22"/>
      <w14:ligatures w14:val="none"/>
    </w:rPr>
  </w:style>
  <w:style w:type="paragraph" w:styleId="Heading1">
    <w:name w:val="heading 1"/>
    <w:basedOn w:val="Normal"/>
    <w:next w:val="Normal"/>
    <w:link w:val="Heading1Char"/>
    <w:uiPriority w:val="9"/>
    <w:qFormat/>
    <w:rsid w:val="008E287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E287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E287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E287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E287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E287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E287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E287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E287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876"/>
    <w:rPr>
      <w:rFonts w:eastAsiaTheme="majorEastAsia" w:cstheme="majorBidi"/>
      <w:color w:val="272727" w:themeColor="text1" w:themeTint="D8"/>
    </w:rPr>
  </w:style>
  <w:style w:type="paragraph" w:styleId="Title">
    <w:name w:val="Title"/>
    <w:basedOn w:val="Normal"/>
    <w:next w:val="Normal"/>
    <w:link w:val="TitleChar"/>
    <w:uiPriority w:val="10"/>
    <w:qFormat/>
    <w:rsid w:val="008E2876"/>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8E2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7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E2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876"/>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E2876"/>
    <w:rPr>
      <w:i/>
      <w:iCs/>
      <w:color w:val="404040" w:themeColor="text1" w:themeTint="BF"/>
    </w:rPr>
  </w:style>
  <w:style w:type="paragraph" w:styleId="ListParagraph">
    <w:name w:val="List Paragraph"/>
    <w:basedOn w:val="Normal"/>
    <w:uiPriority w:val="34"/>
    <w:qFormat/>
    <w:rsid w:val="008E2876"/>
    <w:pPr>
      <w:spacing w:after="160" w:line="278" w:lineRule="auto"/>
      <w:ind w:left="720"/>
      <w:contextualSpacing/>
    </w:pPr>
    <w:rPr>
      <w:rFonts w:asciiTheme="minorHAnsi" w:eastAsiaTheme="minorHAnsi" w:hAnsiTheme="minorHAnsi"/>
      <w:color w:val="auto"/>
      <w:kern w:val="2"/>
      <w:sz w:val="24"/>
      <w:szCs w:val="24"/>
      <w14:ligatures w14:val="standardContextual"/>
    </w:rPr>
  </w:style>
  <w:style w:type="character" w:styleId="IntenseEmphasis">
    <w:name w:val="Intense Emphasis"/>
    <w:basedOn w:val="DefaultParagraphFont"/>
    <w:uiPriority w:val="21"/>
    <w:qFormat/>
    <w:rsid w:val="008E2876"/>
    <w:rPr>
      <w:i/>
      <w:iCs/>
      <w:color w:val="0F4761" w:themeColor="accent1" w:themeShade="BF"/>
    </w:rPr>
  </w:style>
  <w:style w:type="paragraph" w:styleId="IntenseQuote">
    <w:name w:val="Intense Quote"/>
    <w:basedOn w:val="Normal"/>
    <w:next w:val="Normal"/>
    <w:link w:val="IntenseQuoteChar"/>
    <w:uiPriority w:val="30"/>
    <w:qFormat/>
    <w:rsid w:val="008E287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E2876"/>
    <w:rPr>
      <w:i/>
      <w:iCs/>
      <w:color w:val="0F4761" w:themeColor="accent1" w:themeShade="BF"/>
    </w:rPr>
  </w:style>
  <w:style w:type="character" w:styleId="IntenseReference">
    <w:name w:val="Intense Reference"/>
    <w:basedOn w:val="DefaultParagraphFont"/>
    <w:uiPriority w:val="32"/>
    <w:qFormat/>
    <w:rsid w:val="008E2876"/>
    <w:rPr>
      <w:b/>
      <w:bCs/>
      <w:smallCaps/>
      <w:color w:val="0F4761" w:themeColor="accent1" w:themeShade="BF"/>
      <w:spacing w:val="5"/>
    </w:rPr>
  </w:style>
  <w:style w:type="table" w:styleId="LightShading-Accent1">
    <w:name w:val="Light Shading Accent 1"/>
    <w:basedOn w:val="TableNormal"/>
    <w:uiPriority w:val="60"/>
    <w:rsid w:val="008E2876"/>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448</Words>
  <Characters>2745</Characters>
  <Application>Microsoft Office Word</Application>
  <DocSecurity>0</DocSecurity>
  <Lines>90</Lines>
  <Paragraphs>59</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2</cp:revision>
  <dcterms:created xsi:type="dcterms:W3CDTF">2026-05-25T01:07:00Z</dcterms:created>
  <dcterms:modified xsi:type="dcterms:W3CDTF">2026-05-25T01:07:00Z</dcterms:modified>
</cp:coreProperties>
</file>