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38FD" w14:textId="77777777" w:rsidR="0083361A" w:rsidRDefault="0083361A" w:rsidP="0083361A">
      <w:r>
        <w:rPr>
          <w:b/>
          <w:color w:val="1B3A5C"/>
          <w:sz w:val="20"/>
        </w:rPr>
        <w:t>MERIDIAN ADVISORY GROUP</w:t>
      </w:r>
    </w:p>
    <w:p w14:paraId="7CA21108" w14:textId="77777777" w:rsidR="0083361A" w:rsidRDefault="0083361A" w:rsidP="0083361A">
      <w:pPr>
        <w:pStyle w:val="Heading1"/>
      </w:pPr>
      <w:r>
        <w:t>Case Study: NovaCare Health Systems</w:t>
      </w:r>
    </w:p>
    <w:p w14:paraId="707458EA" w14:textId="77777777" w:rsidR="0083361A" w:rsidRDefault="0083361A" w:rsidP="0083361A">
      <w:r>
        <w:rPr>
          <w:i/>
          <w:color w:val="666666"/>
          <w:sz w:val="24"/>
        </w:rPr>
        <w:t>Clinical Operations Transformation &amp; Microsoft 365 Modernization</w:t>
      </w:r>
    </w:p>
    <w:p w14:paraId="3A83F056" w14:textId="77777777" w:rsidR="0083361A" w:rsidRDefault="0083361A" w:rsidP="0083361A">
      <w:r>
        <w:rPr>
          <w:color w:val="999999"/>
          <w:sz w:val="16"/>
        </w:rPr>
        <w:t>EXTERNAL — APPROVED FOR PROPOSALS (Client-approved Jan 2026)</w:t>
      </w:r>
    </w:p>
    <w:p w14:paraId="72A7D94C" w14:textId="77777777" w:rsidR="0083361A" w:rsidRDefault="0083361A" w:rsidP="0083361A"/>
    <w:p w14:paraId="2C483272" w14:textId="77777777" w:rsidR="0083361A" w:rsidRDefault="0083361A" w:rsidP="0083361A">
      <w:pPr>
        <w:pStyle w:val="Heading2"/>
      </w:pPr>
      <w:r>
        <w:t>Client Overview</w:t>
      </w:r>
    </w:p>
    <w:p w14:paraId="68C4003A" w14:textId="77777777" w:rsidR="0083361A" w:rsidRDefault="0083361A" w:rsidP="0083361A">
      <w:r>
        <w:t>NovaCare Health Systems is a 12-hospital regional health system based in Pittsburgh, PA, with 28,000 employees, 3,200 physicians, and $4.8B in annual revenue. NovaCare operates acute care hospitals, ambulatory surgery centers, a physician network, and a growing telehealth platform.</w:t>
      </w:r>
    </w:p>
    <w:p w14:paraId="42498F7B" w14:textId="77777777" w:rsidR="0083361A" w:rsidRDefault="0083361A" w:rsidP="0083361A">
      <w:pPr>
        <w:pStyle w:val="Heading2"/>
      </w:pPr>
      <w:r>
        <w:t>The Challenge</w:t>
      </w:r>
    </w:p>
    <w:p w14:paraId="1B12366E" w14:textId="77777777" w:rsidR="0083361A" w:rsidRDefault="0083361A" w:rsidP="0083361A">
      <w:r>
        <w:t>NovaCare was experiencing severe operational friction from a fragmented collaboration environment: clinical staff used 6 different communication tools, administrative teams operated on legacy on-premises SharePoint 2013, and physician practices had no standardized platform. The result was duplicated work, missed handoffs between care teams, and a physician satisfaction score that dropped to 58% — with 'communication tools' cited as the #1 complaint.</w:t>
      </w:r>
    </w:p>
    <w:p w14:paraId="24BEDE26" w14:textId="77777777" w:rsidR="0083361A" w:rsidRDefault="0083361A" w:rsidP="0083361A">
      <w:r>
        <w:t>Simultaneously, the CISO flagged 340+ instances of PHI shared via unsanctioned tools (personal email, consumer messaging apps) in the previous quarter — a HIPAA exposure that the compliance team rated as critical.</w:t>
      </w:r>
    </w:p>
    <w:p w14:paraId="495D1685" w14:textId="77777777" w:rsidR="0083361A" w:rsidRDefault="0083361A" w:rsidP="0083361A">
      <w:pPr>
        <w:pStyle w:val="Heading2"/>
      </w:pPr>
      <w:r>
        <w:t>What We Did</w:t>
      </w:r>
    </w:p>
    <w:p w14:paraId="1335C76F" w14:textId="77777777" w:rsidR="0083361A" w:rsidRDefault="0083361A" w:rsidP="0083361A">
      <w:r>
        <w:t>Meridian delivered a 24-week engagement in two phases:</w:t>
      </w:r>
    </w:p>
    <w:p w14:paraId="11309C02" w14:textId="77777777" w:rsidR="0083361A" w:rsidRDefault="0083361A" w:rsidP="0083361A">
      <w:pPr>
        <w:pStyle w:val="Heading3"/>
      </w:pPr>
      <w:r>
        <w:t>Phase 1: Microsoft 365 Foundation &amp; Governance (Weeks 1-10)</w:t>
      </w:r>
    </w:p>
    <w:p w14:paraId="10DDB26D" w14:textId="77777777" w:rsidR="0083361A" w:rsidRDefault="0083361A" w:rsidP="0083361A">
      <w:r>
        <w:t>Designed and deployed a Microsoft 365 governance framework including sensitivity labeling for PHI, DLP policies aligned to HIPAA requirements, Teams provisioning governance, and a SharePoint Online migration strategy for 2.4TB of clinical and administrative content. Deployed Microsoft Intune for device management across 8,000 clinical endpoints.</w:t>
      </w:r>
    </w:p>
    <w:p w14:paraId="2412ADD5" w14:textId="77777777" w:rsidR="0083361A" w:rsidRDefault="0083361A" w:rsidP="0083361A">
      <w:pPr>
        <w:pStyle w:val="Heading3"/>
      </w:pPr>
      <w:r>
        <w:t>Phase 2: Clinical Collaboration &amp; Physician Experience (Weeks 8-24)</w:t>
      </w:r>
    </w:p>
    <w:p w14:paraId="7BA37AA0" w14:textId="77777777" w:rsidR="0083361A" w:rsidRDefault="0083361A" w:rsidP="0083361A">
      <w:r>
        <w:t>Designed and rolled out a clinical collaboration model using Microsoft Teams with custom templates for care coordination, department communication, and physician-administration channels. Integrated Teams with Epic EHR using Azure API Management to surface patient context in clinical channels. Deployed Copilot for Microsoft 365 to 200 administrative staff for document drafting, meeting summarization, and email triage.</w:t>
      </w:r>
    </w:p>
    <w:p w14:paraId="49A43972" w14:textId="77777777" w:rsidR="0083361A" w:rsidRDefault="0083361A" w:rsidP="0083361A">
      <w:pPr>
        <w:pStyle w:val="Heading2"/>
      </w:pPr>
      <w:r>
        <w:lastRenderedPageBreak/>
        <w:t>Results</w:t>
      </w:r>
    </w:p>
    <w:tbl>
      <w:tblPr>
        <w:tblStyle w:val="LightShading-Accent1"/>
        <w:tblW w:w="0" w:type="auto"/>
        <w:tblLook w:val="04A0" w:firstRow="1" w:lastRow="0" w:firstColumn="1" w:lastColumn="0" w:noHBand="0" w:noVBand="1"/>
      </w:tblPr>
      <w:tblGrid>
        <w:gridCol w:w="2351"/>
        <w:gridCol w:w="2351"/>
        <w:gridCol w:w="2351"/>
        <w:gridCol w:w="2351"/>
      </w:tblGrid>
      <w:tr w:rsidR="0083361A" w14:paraId="29962997"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C3CA4DA" w14:textId="77777777" w:rsidR="0083361A" w:rsidRDefault="0083361A" w:rsidP="004C4F22">
            <w:r>
              <w:t>Metric</w:t>
            </w:r>
          </w:p>
        </w:tc>
        <w:tc>
          <w:tcPr>
            <w:tcW w:w="2351" w:type="dxa"/>
          </w:tcPr>
          <w:p w14:paraId="7D8D223F" w14:textId="77777777" w:rsidR="0083361A" w:rsidRDefault="0083361A" w:rsidP="004C4F22">
            <w:pPr>
              <w:cnfStyle w:val="100000000000" w:firstRow="1" w:lastRow="0" w:firstColumn="0" w:lastColumn="0" w:oddVBand="0" w:evenVBand="0" w:oddHBand="0" w:evenHBand="0" w:firstRowFirstColumn="0" w:firstRowLastColumn="0" w:lastRowFirstColumn="0" w:lastRowLastColumn="0"/>
            </w:pPr>
            <w:r>
              <w:t>Before</w:t>
            </w:r>
          </w:p>
        </w:tc>
        <w:tc>
          <w:tcPr>
            <w:tcW w:w="2351" w:type="dxa"/>
          </w:tcPr>
          <w:p w14:paraId="2A67D009" w14:textId="77777777" w:rsidR="0083361A" w:rsidRDefault="0083361A" w:rsidP="004C4F22">
            <w:pPr>
              <w:cnfStyle w:val="100000000000" w:firstRow="1" w:lastRow="0" w:firstColumn="0" w:lastColumn="0" w:oddVBand="0" w:evenVBand="0" w:oddHBand="0" w:evenHBand="0" w:firstRowFirstColumn="0" w:firstRowLastColumn="0" w:lastRowFirstColumn="0" w:lastRowLastColumn="0"/>
            </w:pPr>
            <w:r>
              <w:t>After</w:t>
            </w:r>
          </w:p>
        </w:tc>
        <w:tc>
          <w:tcPr>
            <w:tcW w:w="2351" w:type="dxa"/>
          </w:tcPr>
          <w:p w14:paraId="6BA4BA90" w14:textId="77777777" w:rsidR="0083361A" w:rsidRDefault="0083361A" w:rsidP="004C4F22">
            <w:pPr>
              <w:cnfStyle w:val="100000000000" w:firstRow="1" w:lastRow="0" w:firstColumn="0" w:lastColumn="0" w:oddVBand="0" w:evenVBand="0" w:oddHBand="0" w:evenHBand="0" w:firstRowFirstColumn="0" w:firstRowLastColumn="0" w:lastRowFirstColumn="0" w:lastRowLastColumn="0"/>
            </w:pPr>
            <w:r>
              <w:t>Impact</w:t>
            </w:r>
          </w:p>
        </w:tc>
      </w:tr>
      <w:tr w:rsidR="0083361A" w14:paraId="6D771095"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0C64254" w14:textId="77777777" w:rsidR="0083361A" w:rsidRDefault="0083361A" w:rsidP="004C4F22">
            <w:r>
              <w:t>Communication tools in use</w:t>
            </w:r>
          </w:p>
        </w:tc>
        <w:tc>
          <w:tcPr>
            <w:tcW w:w="2351" w:type="dxa"/>
          </w:tcPr>
          <w:p w14:paraId="50EB3408"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6 unsanctioned tools</w:t>
            </w:r>
          </w:p>
        </w:tc>
        <w:tc>
          <w:tcPr>
            <w:tcW w:w="2351" w:type="dxa"/>
          </w:tcPr>
          <w:p w14:paraId="6A37F47E"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1 platform (Teams)</w:t>
            </w:r>
          </w:p>
        </w:tc>
        <w:tc>
          <w:tcPr>
            <w:tcW w:w="2351" w:type="dxa"/>
          </w:tcPr>
          <w:p w14:paraId="7FAB660D"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100% consolidation</w:t>
            </w:r>
          </w:p>
        </w:tc>
      </w:tr>
      <w:tr w:rsidR="0083361A" w14:paraId="0614CC12"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0BC41ABE" w14:textId="77777777" w:rsidR="0083361A" w:rsidRDefault="0083361A" w:rsidP="004C4F22">
            <w:r>
              <w:t>PHI exposure incidents/quarter</w:t>
            </w:r>
          </w:p>
        </w:tc>
        <w:tc>
          <w:tcPr>
            <w:tcW w:w="2351" w:type="dxa"/>
          </w:tcPr>
          <w:p w14:paraId="7D42B32D"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340+</w:t>
            </w:r>
          </w:p>
        </w:tc>
        <w:tc>
          <w:tcPr>
            <w:tcW w:w="2351" w:type="dxa"/>
          </w:tcPr>
          <w:p w14:paraId="02E0C27B"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12</w:t>
            </w:r>
          </w:p>
        </w:tc>
        <w:tc>
          <w:tcPr>
            <w:tcW w:w="2351" w:type="dxa"/>
          </w:tcPr>
          <w:p w14:paraId="0391A933"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96% reduction</w:t>
            </w:r>
          </w:p>
        </w:tc>
      </w:tr>
      <w:tr w:rsidR="0083361A" w14:paraId="5B8D9D9E"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6E57E09" w14:textId="77777777" w:rsidR="0083361A" w:rsidRDefault="0083361A" w:rsidP="004C4F22">
            <w:r>
              <w:t>Physician satisfaction (communication)</w:t>
            </w:r>
          </w:p>
        </w:tc>
        <w:tc>
          <w:tcPr>
            <w:tcW w:w="2351" w:type="dxa"/>
          </w:tcPr>
          <w:p w14:paraId="0D211DFE"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58%</w:t>
            </w:r>
          </w:p>
        </w:tc>
        <w:tc>
          <w:tcPr>
            <w:tcW w:w="2351" w:type="dxa"/>
          </w:tcPr>
          <w:p w14:paraId="4A884328"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81%</w:t>
            </w:r>
          </w:p>
        </w:tc>
        <w:tc>
          <w:tcPr>
            <w:tcW w:w="2351" w:type="dxa"/>
          </w:tcPr>
          <w:p w14:paraId="688543F9"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+23 points</w:t>
            </w:r>
          </w:p>
        </w:tc>
      </w:tr>
      <w:tr w:rsidR="0083361A" w14:paraId="1EF74300"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62E4A165" w14:textId="77777777" w:rsidR="0083361A" w:rsidRDefault="0083361A" w:rsidP="004C4F22">
            <w:r>
              <w:t>Time to onboard new physician practice</w:t>
            </w:r>
          </w:p>
        </w:tc>
        <w:tc>
          <w:tcPr>
            <w:tcW w:w="2351" w:type="dxa"/>
          </w:tcPr>
          <w:p w14:paraId="78108837"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6 weeks</w:t>
            </w:r>
          </w:p>
        </w:tc>
        <w:tc>
          <w:tcPr>
            <w:tcW w:w="2351" w:type="dxa"/>
          </w:tcPr>
          <w:p w14:paraId="2D468EBB"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5 days</w:t>
            </w:r>
          </w:p>
        </w:tc>
        <w:tc>
          <w:tcPr>
            <w:tcW w:w="2351" w:type="dxa"/>
          </w:tcPr>
          <w:p w14:paraId="06DE733B"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88% reduction</w:t>
            </w:r>
          </w:p>
        </w:tc>
      </w:tr>
      <w:tr w:rsidR="0083361A" w14:paraId="3659E355"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ED2230E" w14:textId="77777777" w:rsidR="0083361A" w:rsidRDefault="0083361A" w:rsidP="004C4F22">
            <w:r>
              <w:t>SharePoint migration</w:t>
            </w:r>
          </w:p>
        </w:tc>
        <w:tc>
          <w:tcPr>
            <w:tcW w:w="2351" w:type="dxa"/>
          </w:tcPr>
          <w:p w14:paraId="2E979193"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On-prem SP 2013</w:t>
            </w:r>
          </w:p>
        </w:tc>
        <w:tc>
          <w:tcPr>
            <w:tcW w:w="2351" w:type="dxa"/>
          </w:tcPr>
          <w:p w14:paraId="07B884CE"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SharePoint Online</w:t>
            </w:r>
          </w:p>
        </w:tc>
        <w:tc>
          <w:tcPr>
            <w:tcW w:w="2351" w:type="dxa"/>
          </w:tcPr>
          <w:p w14:paraId="4CCB827D"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2.4TB migrated, 0 data loss</w:t>
            </w:r>
          </w:p>
        </w:tc>
      </w:tr>
      <w:tr w:rsidR="0083361A" w14:paraId="0B41DE2F"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3172F944" w14:textId="77777777" w:rsidR="0083361A" w:rsidRDefault="0083361A" w:rsidP="004C4F22">
            <w:r>
              <w:t>Copilot adoption (admin staff)</w:t>
            </w:r>
          </w:p>
        </w:tc>
        <w:tc>
          <w:tcPr>
            <w:tcW w:w="2351" w:type="dxa"/>
          </w:tcPr>
          <w:p w14:paraId="22D160D3"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N/A</w:t>
            </w:r>
          </w:p>
        </w:tc>
        <w:tc>
          <w:tcPr>
            <w:tcW w:w="2351" w:type="dxa"/>
          </w:tcPr>
          <w:p w14:paraId="557C3E31"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73% weekly active</w:t>
            </w:r>
          </w:p>
        </w:tc>
        <w:tc>
          <w:tcPr>
            <w:tcW w:w="2351" w:type="dxa"/>
          </w:tcPr>
          <w:p w14:paraId="1A6AB8D7"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 xml:space="preserve">Saved avg 4.2 </w:t>
            </w:r>
            <w:proofErr w:type="spellStart"/>
            <w:r>
              <w:t>hrs</w:t>
            </w:r>
            <w:proofErr w:type="spellEnd"/>
            <w:r>
              <w:t>/week per user</w:t>
            </w:r>
          </w:p>
        </w:tc>
      </w:tr>
    </w:tbl>
    <w:p w14:paraId="78F56EE3" w14:textId="77777777" w:rsidR="0083361A" w:rsidRDefault="0083361A" w:rsidP="0083361A"/>
    <w:p w14:paraId="7AABF50B" w14:textId="77777777" w:rsidR="0083361A" w:rsidRDefault="0083361A" w:rsidP="0083361A">
      <w:pPr>
        <w:pStyle w:val="Heading2"/>
      </w:pPr>
      <w:r>
        <w:t>Client Testimonial</w:t>
      </w:r>
    </w:p>
    <w:p w14:paraId="31E4AD7E" w14:textId="77777777" w:rsidR="0083361A" w:rsidRDefault="0083361A" w:rsidP="0083361A">
      <w:r>
        <w:t>"Our physicians don't want to learn a new tool — they want to take care of patients. Meridian understood that from day one. They designed a Teams experience that puts patient context in front of the care team without asking anyone to leave the app they're already in. Physician satisfaction went from 58% to 81% — and our compliance team can finally sleep at night."</w:t>
      </w:r>
    </w:p>
    <w:p w14:paraId="2CE0966A" w14:textId="77777777" w:rsidR="0083361A" w:rsidRDefault="0083361A" w:rsidP="0083361A">
      <w:r>
        <w:rPr>
          <w:i/>
        </w:rPr>
        <w:t>— Dr. James Okafor, CMIO, NovaCare Health Systems</w:t>
      </w:r>
    </w:p>
    <w:p w14:paraId="3EF7199B" w14:textId="77777777" w:rsidR="0083361A" w:rsidRDefault="0083361A" w:rsidP="0083361A">
      <w:pPr>
        <w:pStyle w:val="Heading2"/>
      </w:pPr>
      <w:r>
        <w:t>Engagement Details</w:t>
      </w:r>
    </w:p>
    <w:tbl>
      <w:tblPr>
        <w:tblStyle w:val="LightShading-Accent1"/>
        <w:tblW w:w="0" w:type="auto"/>
        <w:tblLook w:val="04A0" w:firstRow="1" w:lastRow="0" w:firstColumn="1" w:lastColumn="0" w:noHBand="0" w:noVBand="1"/>
      </w:tblPr>
      <w:tblGrid>
        <w:gridCol w:w="4703"/>
        <w:gridCol w:w="4703"/>
      </w:tblGrid>
      <w:tr w:rsidR="0083361A" w14:paraId="58ACFEBA"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89E1285" w14:textId="77777777" w:rsidR="0083361A" w:rsidRDefault="0083361A" w:rsidP="004C4F22">
            <w:r>
              <w:t>Parameter</w:t>
            </w:r>
          </w:p>
        </w:tc>
        <w:tc>
          <w:tcPr>
            <w:tcW w:w="4703" w:type="dxa"/>
          </w:tcPr>
          <w:p w14:paraId="53394F88" w14:textId="77777777" w:rsidR="0083361A" w:rsidRDefault="0083361A" w:rsidP="004C4F22">
            <w:pPr>
              <w:cnfStyle w:val="100000000000" w:firstRow="1" w:lastRow="0" w:firstColumn="0" w:lastColumn="0" w:oddVBand="0" w:evenVBand="0" w:oddHBand="0" w:evenHBand="0" w:firstRowFirstColumn="0" w:firstRowLastColumn="0" w:lastRowFirstColumn="0" w:lastRowLastColumn="0"/>
            </w:pPr>
            <w:r>
              <w:t>Detail</w:t>
            </w:r>
          </w:p>
        </w:tc>
      </w:tr>
      <w:tr w:rsidR="0083361A" w14:paraId="53310783"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FB51C1A" w14:textId="77777777" w:rsidR="0083361A" w:rsidRDefault="0083361A" w:rsidP="004C4F22">
            <w:r>
              <w:t>Duration</w:t>
            </w:r>
          </w:p>
        </w:tc>
        <w:tc>
          <w:tcPr>
            <w:tcW w:w="4703" w:type="dxa"/>
          </w:tcPr>
          <w:p w14:paraId="62041F48"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24 weeks</w:t>
            </w:r>
          </w:p>
        </w:tc>
      </w:tr>
      <w:tr w:rsidR="0083361A" w14:paraId="1A25EE95"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1AFA1E2F" w14:textId="77777777" w:rsidR="0083361A" w:rsidRDefault="0083361A" w:rsidP="004C4F22">
            <w:r>
              <w:t>Team size</w:t>
            </w:r>
          </w:p>
        </w:tc>
        <w:tc>
          <w:tcPr>
            <w:tcW w:w="4703" w:type="dxa"/>
          </w:tcPr>
          <w:p w14:paraId="0864B2A4"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10 Meridian consultants (2 partners, 3 senior managers, 4 consultants, 1 change management lead)</w:t>
            </w:r>
          </w:p>
        </w:tc>
      </w:tr>
      <w:tr w:rsidR="0083361A" w14:paraId="66F18A2E"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C3E9C07" w14:textId="77777777" w:rsidR="0083361A" w:rsidRDefault="0083361A" w:rsidP="004C4F22">
            <w:r>
              <w:t>Engagement value</w:t>
            </w:r>
          </w:p>
        </w:tc>
        <w:tc>
          <w:tcPr>
            <w:tcW w:w="4703" w:type="dxa"/>
          </w:tcPr>
          <w:p w14:paraId="48F48079"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$2.4M</w:t>
            </w:r>
          </w:p>
        </w:tc>
      </w:tr>
      <w:tr w:rsidR="0083361A" w14:paraId="13FC2D85"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5B4EF9F3" w14:textId="77777777" w:rsidR="0083361A" w:rsidRDefault="0083361A" w:rsidP="004C4F22">
            <w:r>
              <w:lastRenderedPageBreak/>
              <w:t>Technology stack</w:t>
            </w:r>
          </w:p>
        </w:tc>
        <w:tc>
          <w:tcPr>
            <w:tcW w:w="4703" w:type="dxa"/>
          </w:tcPr>
          <w:p w14:paraId="7FD7C70D"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Microsoft 365 E5, Teams, SharePoint Online, Intune, Copilot for M365, Azure API Management</w:t>
            </w:r>
          </w:p>
        </w:tc>
      </w:tr>
      <w:tr w:rsidR="0083361A" w14:paraId="1E89FCD3"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C6AFB17" w14:textId="77777777" w:rsidR="0083361A" w:rsidRDefault="0083361A" w:rsidP="004C4F22">
            <w:r>
              <w:t>Service line</w:t>
            </w:r>
          </w:p>
        </w:tc>
        <w:tc>
          <w:tcPr>
            <w:tcW w:w="4703" w:type="dxa"/>
          </w:tcPr>
          <w:p w14:paraId="3F2F8EE7" w14:textId="77777777" w:rsidR="0083361A" w:rsidRDefault="0083361A" w:rsidP="004C4F22">
            <w:pPr>
              <w:cnfStyle w:val="000000100000" w:firstRow="0" w:lastRow="0" w:firstColumn="0" w:lastColumn="0" w:oddVBand="0" w:evenVBand="0" w:oddHBand="1" w:evenHBand="0" w:firstRowFirstColumn="0" w:firstRowLastColumn="0" w:lastRowFirstColumn="0" w:lastRowLastColumn="0"/>
            </w:pPr>
            <w:r>
              <w:t>Technology Implementation + Operational Excellence</w:t>
            </w:r>
          </w:p>
        </w:tc>
      </w:tr>
      <w:tr w:rsidR="0083361A" w14:paraId="4F264290"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2EB4FA61" w14:textId="77777777" w:rsidR="0083361A" w:rsidRDefault="0083361A" w:rsidP="004C4F22">
            <w:r>
              <w:t>Industry</w:t>
            </w:r>
          </w:p>
        </w:tc>
        <w:tc>
          <w:tcPr>
            <w:tcW w:w="4703" w:type="dxa"/>
          </w:tcPr>
          <w:p w14:paraId="6FF618E7" w14:textId="77777777" w:rsidR="0083361A" w:rsidRDefault="0083361A" w:rsidP="004C4F22">
            <w:pPr>
              <w:cnfStyle w:val="000000000000" w:firstRow="0" w:lastRow="0" w:firstColumn="0" w:lastColumn="0" w:oddVBand="0" w:evenVBand="0" w:oddHBand="0" w:evenHBand="0" w:firstRowFirstColumn="0" w:firstRowLastColumn="0" w:lastRowFirstColumn="0" w:lastRowLastColumn="0"/>
            </w:pPr>
            <w:r>
              <w:t>Healthcare — Provider</w:t>
            </w:r>
          </w:p>
        </w:tc>
      </w:tr>
    </w:tbl>
    <w:p w14:paraId="09D476B1" w14:textId="77777777" w:rsidR="0083361A" w:rsidRDefault="0083361A" w:rsidP="0083361A"/>
    <w:p w14:paraId="6C545C3E" w14:textId="77777777" w:rsidR="00923E5B" w:rsidRPr="0083361A" w:rsidRDefault="00923E5B" w:rsidP="0083361A"/>
    <w:sectPr w:rsidR="00923E5B" w:rsidRPr="0083361A" w:rsidSect="008E287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76"/>
    <w:rsid w:val="002A4327"/>
    <w:rsid w:val="00552E0D"/>
    <w:rsid w:val="005D68D3"/>
    <w:rsid w:val="0083361A"/>
    <w:rsid w:val="008E2876"/>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4D1D4"/>
  <w15:chartTrackingRefBased/>
  <w15:docId w15:val="{5EC67E9D-4D1D-5945-84D9-15C966B8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876"/>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8E28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E28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E287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E287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E287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E287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E287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E287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E287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876"/>
    <w:rPr>
      <w:rFonts w:eastAsiaTheme="majorEastAsia" w:cstheme="majorBidi"/>
      <w:color w:val="272727" w:themeColor="text1" w:themeTint="D8"/>
    </w:rPr>
  </w:style>
  <w:style w:type="paragraph" w:styleId="Title">
    <w:name w:val="Title"/>
    <w:basedOn w:val="Normal"/>
    <w:next w:val="Normal"/>
    <w:link w:val="TitleChar"/>
    <w:uiPriority w:val="10"/>
    <w:qFormat/>
    <w:rsid w:val="008E2876"/>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8E2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7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E2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876"/>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E2876"/>
    <w:rPr>
      <w:i/>
      <w:iCs/>
      <w:color w:val="404040" w:themeColor="text1" w:themeTint="BF"/>
    </w:rPr>
  </w:style>
  <w:style w:type="paragraph" w:styleId="ListParagraph">
    <w:name w:val="List Paragraph"/>
    <w:basedOn w:val="Normal"/>
    <w:uiPriority w:val="34"/>
    <w:qFormat/>
    <w:rsid w:val="008E2876"/>
    <w:pPr>
      <w:spacing w:after="160" w:line="278" w:lineRule="auto"/>
      <w:ind w:left="720"/>
      <w:contextualSpacing/>
    </w:pPr>
    <w:rPr>
      <w:rFonts w:asciiTheme="minorHAnsi" w:eastAsiaTheme="minorHAnsi" w:hAnsiTheme="minorHAnsi"/>
      <w:color w:val="auto"/>
      <w:kern w:val="2"/>
      <w:sz w:val="24"/>
      <w:szCs w:val="24"/>
      <w14:ligatures w14:val="standardContextual"/>
    </w:rPr>
  </w:style>
  <w:style w:type="character" w:styleId="IntenseEmphasis">
    <w:name w:val="Intense Emphasis"/>
    <w:basedOn w:val="DefaultParagraphFont"/>
    <w:uiPriority w:val="21"/>
    <w:qFormat/>
    <w:rsid w:val="008E2876"/>
    <w:rPr>
      <w:i/>
      <w:iCs/>
      <w:color w:val="0F4761" w:themeColor="accent1" w:themeShade="BF"/>
    </w:rPr>
  </w:style>
  <w:style w:type="paragraph" w:styleId="IntenseQuote">
    <w:name w:val="Intense Quote"/>
    <w:basedOn w:val="Normal"/>
    <w:next w:val="Normal"/>
    <w:link w:val="IntenseQuoteChar"/>
    <w:uiPriority w:val="30"/>
    <w:qFormat/>
    <w:rsid w:val="008E28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E2876"/>
    <w:rPr>
      <w:i/>
      <w:iCs/>
      <w:color w:val="0F4761" w:themeColor="accent1" w:themeShade="BF"/>
    </w:rPr>
  </w:style>
  <w:style w:type="character" w:styleId="IntenseReference">
    <w:name w:val="Intense Reference"/>
    <w:basedOn w:val="DefaultParagraphFont"/>
    <w:uiPriority w:val="32"/>
    <w:qFormat/>
    <w:rsid w:val="008E2876"/>
    <w:rPr>
      <w:b/>
      <w:bCs/>
      <w:smallCaps/>
      <w:color w:val="0F4761" w:themeColor="accent1" w:themeShade="BF"/>
      <w:spacing w:val="5"/>
    </w:rPr>
  </w:style>
  <w:style w:type="table" w:styleId="LightShading-Accent1">
    <w:name w:val="Light Shading Accent 1"/>
    <w:basedOn w:val="TableNormal"/>
    <w:uiPriority w:val="60"/>
    <w:rsid w:val="008E2876"/>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477</Words>
  <Characters>2938</Characters>
  <Application>Microsoft Office Word</Application>
  <DocSecurity>0</DocSecurity>
  <Lines>94</Lines>
  <Paragraphs>62</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2</cp:revision>
  <dcterms:created xsi:type="dcterms:W3CDTF">2026-05-25T13:59:00Z</dcterms:created>
  <dcterms:modified xsi:type="dcterms:W3CDTF">2026-05-25T13:59:00Z</dcterms:modified>
</cp:coreProperties>
</file>