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07C3" w14:textId="77777777" w:rsidR="00854BEB" w:rsidRDefault="00854BEB" w:rsidP="00854BEB">
      <w:r>
        <w:rPr>
          <w:b/>
          <w:color w:val="1B3A5C"/>
          <w:sz w:val="20"/>
        </w:rPr>
        <w:t>MERIDIAN ADVISORY GROUP</w:t>
      </w:r>
    </w:p>
    <w:p w14:paraId="795396B5" w14:textId="77777777" w:rsidR="00854BEB" w:rsidRDefault="00854BEB" w:rsidP="00854BEB">
      <w:pPr>
        <w:pStyle w:val="Heading1"/>
      </w:pPr>
      <w:r>
        <w:t>Industry Brief: Financial Services Advisory</w:t>
      </w:r>
    </w:p>
    <w:p w14:paraId="16C999EA" w14:textId="77777777" w:rsidR="00854BEB" w:rsidRDefault="00854BEB" w:rsidP="00854BEB">
      <w:r>
        <w:rPr>
          <w:i/>
          <w:color w:val="666666"/>
          <w:sz w:val="24"/>
        </w:rPr>
        <w:t>Market Trends, Regulatory Landscape &amp; Meridian Positioning</w:t>
      </w:r>
    </w:p>
    <w:p w14:paraId="4F2258BC" w14:textId="77777777" w:rsidR="00854BEB" w:rsidRDefault="00854BEB" w:rsidP="00854BEB">
      <w:r>
        <w:rPr>
          <w:color w:val="999999"/>
          <w:sz w:val="16"/>
        </w:rPr>
        <w:t>INTERNAL — CONFIDENTIAL</w:t>
      </w:r>
    </w:p>
    <w:p w14:paraId="73B2FD02" w14:textId="77777777" w:rsidR="00854BEB" w:rsidRDefault="00854BEB" w:rsidP="00854BEB"/>
    <w:p w14:paraId="34A13854" w14:textId="77777777" w:rsidR="00854BEB" w:rsidRDefault="00854BEB" w:rsidP="00854BEB">
      <w:pPr>
        <w:pStyle w:val="Heading2"/>
      </w:pPr>
      <w:r>
        <w:t>Market Overview</w:t>
      </w:r>
    </w:p>
    <w:p w14:paraId="27FAB912" w14:textId="77777777" w:rsidR="00854BEB" w:rsidRDefault="00854BEB" w:rsidP="00854BEB">
      <w:r>
        <w:t>The financial services industry is undergoing its most significant transformation in a generation, driven by four converging forces: regulatory modernization (Basel IV, DORA, open banking mandates), technology disruption from fintech and neobank competitors, the generative AI revolution reshaping every function from underwriting to client service, and intensifying cybersecurity threats in an increasingly digital operating environment.</w:t>
      </w:r>
    </w:p>
    <w:p w14:paraId="589AB71D" w14:textId="77777777" w:rsidR="00854BEB" w:rsidRDefault="00854BEB" w:rsidP="00854BEB">
      <w:r>
        <w:t>Advisory spending in financial services is projected at $48B globally in 2026, with technology advisory and implementation representing the fastest-growing segment at 14% CAGR. Mid-market firms ($1B-$50B in assets) represent the highest-growth opportunity: large enough to invest in transformation but too small for the Big Four to prioritize.</w:t>
      </w:r>
    </w:p>
    <w:p w14:paraId="426FA9A1" w14:textId="77777777" w:rsidR="00854BEB" w:rsidRDefault="00854BEB" w:rsidP="00854BEB">
      <w:pPr>
        <w:pStyle w:val="Heading2"/>
      </w:pPr>
      <w:r>
        <w:t>Key Trends Driving Advisory Demand</w:t>
      </w:r>
    </w:p>
    <w:p w14:paraId="50CB5403" w14:textId="77777777" w:rsidR="00854BEB" w:rsidRDefault="00854BEB" w:rsidP="00854BEB">
      <w:pPr>
        <w:pStyle w:val="Heading3"/>
      </w:pPr>
      <w:r>
        <w:t>1. Data &amp; AI Modernization</w:t>
      </w:r>
    </w:p>
    <w:p w14:paraId="2362DEB8" w14:textId="77777777" w:rsidR="00854BEB" w:rsidRDefault="00854BEB" w:rsidP="00854BEB">
      <w:r>
        <w:t>Financial institutions are racing to modernize legacy data architectures to support AI and advanced analytics. The challenge isn't technology — it's data quality, governance, and the integration of decades of siloed systems. Meridian's combined data strategy and implementation capability positions us to address both the 'what' and the 'how.'</w:t>
      </w:r>
    </w:p>
    <w:p w14:paraId="2306F457" w14:textId="77777777" w:rsidR="00854BEB" w:rsidRDefault="00854BEB" w:rsidP="00854BEB">
      <w:r>
        <w:t>Meridian positioning: Enterprise data platform builds on Azure, AI-driven risk analytics, data governance frameworks for regulated environments</w:t>
      </w:r>
    </w:p>
    <w:p w14:paraId="5CD8699F" w14:textId="77777777" w:rsidR="00854BEB" w:rsidRDefault="00854BEB" w:rsidP="00854BEB">
      <w:pPr>
        <w:pStyle w:val="Heading3"/>
      </w:pPr>
      <w:r>
        <w:t>2. Regulatory Technology &amp; Compliance</w:t>
      </w:r>
    </w:p>
    <w:p w14:paraId="7558E58E" w14:textId="77777777" w:rsidR="00854BEB" w:rsidRDefault="00854BEB" w:rsidP="00854BEB">
      <w:r>
        <w:t>Basel IV implementation, DORA (Digital Operational Resilience Act), and evolving AML/KYC requirements are creating massive demand for compliance modernization. Institutions need to move from manual, spreadsheet-driven compliance to automated, data-driven regulatory reporting — without disrupting ongoing operations.</w:t>
      </w:r>
    </w:p>
    <w:p w14:paraId="6E6B6EE5" w14:textId="77777777" w:rsidR="00854BEB" w:rsidRDefault="00854BEB" w:rsidP="00854BEB">
      <w:r>
        <w:t>Meridian positioning: Compliance automation, regulatory reporting modernization, data lineage and quality for regulatory submissions</w:t>
      </w:r>
    </w:p>
    <w:p w14:paraId="2A8A4034" w14:textId="77777777" w:rsidR="00854BEB" w:rsidRDefault="00854BEB" w:rsidP="00854BEB">
      <w:pPr>
        <w:pStyle w:val="Heading3"/>
      </w:pPr>
      <w:r>
        <w:lastRenderedPageBreak/>
        <w:t>3. Customer Experience Transformation</w:t>
      </w:r>
    </w:p>
    <w:p w14:paraId="14CDCBDB" w14:textId="77777777" w:rsidR="00854BEB" w:rsidRDefault="00854BEB" w:rsidP="00854BEB">
      <w:r>
        <w:t>Consumer expectations set by fintech are forcing traditional institutions to reimagine every customer touchpoint. Digital account opening, AI-powered financial advice, omnichannel service, and real-time fraud detection are no longer differentiators — they are table stakes.</w:t>
      </w:r>
    </w:p>
    <w:p w14:paraId="3612568B" w14:textId="77777777" w:rsidR="00854BEB" w:rsidRDefault="00854BEB" w:rsidP="00854BEB">
      <w:r>
        <w:t>Meridian positioning: CRM and customer data platform strategy, digital channel implementation, Copilot and AI-assisted customer service</w:t>
      </w:r>
    </w:p>
    <w:p w14:paraId="788EDEFF" w14:textId="77777777" w:rsidR="00854BEB" w:rsidRDefault="00854BEB" w:rsidP="00854BEB">
      <w:pPr>
        <w:pStyle w:val="Heading3"/>
      </w:pPr>
      <w:r>
        <w:t>4. Cloud Migration &amp; Core Modernization</w:t>
      </w:r>
    </w:p>
    <w:p w14:paraId="1C0DC7F0" w14:textId="77777777" w:rsidR="00854BEB" w:rsidRDefault="00854BEB" w:rsidP="00854BEB">
      <w:r>
        <w:t>Many financial institutions remain on legacy core systems (mainframes, on-premises data centers) that limit agility and increase operational risk. Cloud migration for financial services requires specialized expertise in regulatory compliance, data residency, and operational resilience that generic cloud consultancies lack.</w:t>
      </w:r>
    </w:p>
    <w:p w14:paraId="57BBF9DC" w14:textId="77777777" w:rsidR="00854BEB" w:rsidRDefault="00854BEB" w:rsidP="00854BEB">
      <w:r>
        <w:t>Meridian positioning: Azure cloud migration with financial services compliance frameworks, core banking modernization advisory, hybrid cloud architecture</w:t>
      </w:r>
    </w:p>
    <w:p w14:paraId="616D4530" w14:textId="77777777" w:rsidR="00854BEB" w:rsidRDefault="00854BEB" w:rsidP="00854BEB">
      <w:pPr>
        <w:pStyle w:val="Heading2"/>
      </w:pPr>
      <w:r>
        <w:t>Meridian Financial Services Track Record</w:t>
      </w:r>
    </w:p>
    <w:tbl>
      <w:tblPr>
        <w:tblStyle w:val="LightShading-Accent1"/>
        <w:tblW w:w="0" w:type="auto"/>
        <w:tblLook w:val="04A0" w:firstRow="1" w:lastRow="0" w:firstColumn="1" w:lastColumn="0" w:noHBand="0" w:noVBand="1"/>
      </w:tblPr>
      <w:tblGrid>
        <w:gridCol w:w="2351"/>
        <w:gridCol w:w="2351"/>
        <w:gridCol w:w="2351"/>
        <w:gridCol w:w="2351"/>
      </w:tblGrid>
      <w:tr w:rsidR="00854BEB" w14:paraId="7AA42E7E"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8041B3A" w14:textId="77777777" w:rsidR="00854BEB" w:rsidRDefault="00854BEB" w:rsidP="004C4F22">
            <w:r>
              <w:t>Client</w:t>
            </w:r>
          </w:p>
        </w:tc>
        <w:tc>
          <w:tcPr>
            <w:tcW w:w="2351" w:type="dxa"/>
          </w:tcPr>
          <w:p w14:paraId="10956347" w14:textId="77777777" w:rsidR="00854BEB" w:rsidRDefault="00854BEB" w:rsidP="004C4F22">
            <w:pPr>
              <w:cnfStyle w:val="100000000000" w:firstRow="1" w:lastRow="0" w:firstColumn="0" w:lastColumn="0" w:oddVBand="0" w:evenVBand="0" w:oddHBand="0" w:evenHBand="0" w:firstRowFirstColumn="0" w:firstRowLastColumn="0" w:lastRowFirstColumn="0" w:lastRowLastColumn="0"/>
            </w:pPr>
            <w:r>
              <w:t>Engagement</w:t>
            </w:r>
          </w:p>
        </w:tc>
        <w:tc>
          <w:tcPr>
            <w:tcW w:w="2351" w:type="dxa"/>
          </w:tcPr>
          <w:p w14:paraId="4E0E6126" w14:textId="77777777" w:rsidR="00854BEB" w:rsidRDefault="00854BEB" w:rsidP="004C4F22">
            <w:pPr>
              <w:cnfStyle w:val="100000000000" w:firstRow="1" w:lastRow="0" w:firstColumn="0" w:lastColumn="0" w:oddVBand="0" w:evenVBand="0" w:oddHBand="0" w:evenHBand="0" w:firstRowFirstColumn="0" w:firstRowLastColumn="0" w:lastRowFirstColumn="0" w:lastRowLastColumn="0"/>
            </w:pPr>
            <w:r>
              <w:t>Value</w:t>
            </w:r>
          </w:p>
        </w:tc>
        <w:tc>
          <w:tcPr>
            <w:tcW w:w="2351" w:type="dxa"/>
          </w:tcPr>
          <w:p w14:paraId="18B1DE27" w14:textId="77777777" w:rsidR="00854BEB" w:rsidRDefault="00854BEB" w:rsidP="004C4F22">
            <w:pPr>
              <w:cnfStyle w:val="100000000000" w:firstRow="1" w:lastRow="0" w:firstColumn="0" w:lastColumn="0" w:oddVBand="0" w:evenVBand="0" w:oddHBand="0" w:evenHBand="0" w:firstRowFirstColumn="0" w:firstRowLastColumn="0" w:lastRowFirstColumn="0" w:lastRowLastColumn="0"/>
            </w:pPr>
            <w:r>
              <w:t>Outcome</w:t>
            </w:r>
          </w:p>
        </w:tc>
      </w:tr>
      <w:tr w:rsidR="00854BEB" w14:paraId="3E321CB0"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7989E0C" w14:textId="77777777" w:rsidR="00854BEB" w:rsidRDefault="00854BEB" w:rsidP="004C4F22">
            <w:r>
              <w:t>Apex Financial Group</w:t>
            </w:r>
          </w:p>
        </w:tc>
        <w:tc>
          <w:tcPr>
            <w:tcW w:w="2351" w:type="dxa"/>
          </w:tcPr>
          <w:p w14:paraId="04F3F905"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Enterprise data platform + AI risk analytics</w:t>
            </w:r>
          </w:p>
        </w:tc>
        <w:tc>
          <w:tcPr>
            <w:tcW w:w="2351" w:type="dxa"/>
          </w:tcPr>
          <w:p w14:paraId="1EA4F34F"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$1.8M</w:t>
            </w:r>
          </w:p>
        </w:tc>
        <w:tc>
          <w:tcPr>
            <w:tcW w:w="2351" w:type="dxa"/>
          </w:tcPr>
          <w:p w14:paraId="3916E3E8"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$18M exposure identified, 95% reduction in report time</w:t>
            </w:r>
          </w:p>
        </w:tc>
      </w:tr>
      <w:tr w:rsidR="00854BEB" w14:paraId="03A6AC42"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23836AE0" w14:textId="77777777" w:rsidR="00854BEB" w:rsidRDefault="00854BEB" w:rsidP="004C4F22">
            <w:r>
              <w:t>First Republic Advisors</w:t>
            </w:r>
          </w:p>
        </w:tc>
        <w:tc>
          <w:tcPr>
            <w:tcW w:w="2351" w:type="dxa"/>
          </w:tcPr>
          <w:p w14:paraId="03A7CC2D" w14:textId="77777777" w:rsidR="00854BEB" w:rsidRDefault="00854BEB" w:rsidP="004C4F22">
            <w:pPr>
              <w:cnfStyle w:val="000000000000" w:firstRow="0" w:lastRow="0" w:firstColumn="0" w:lastColumn="0" w:oddVBand="0" w:evenVBand="0" w:oddHBand="0" w:evenHBand="0" w:firstRowFirstColumn="0" w:firstRowLastColumn="0" w:lastRowFirstColumn="0" w:lastRowLastColumn="0"/>
            </w:pPr>
            <w:r>
              <w:t>Cloud migration + security modernization</w:t>
            </w:r>
          </w:p>
        </w:tc>
        <w:tc>
          <w:tcPr>
            <w:tcW w:w="2351" w:type="dxa"/>
          </w:tcPr>
          <w:p w14:paraId="575081AF" w14:textId="77777777" w:rsidR="00854BEB" w:rsidRDefault="00854BEB" w:rsidP="004C4F22">
            <w:pPr>
              <w:cnfStyle w:val="000000000000" w:firstRow="0" w:lastRow="0" w:firstColumn="0" w:lastColumn="0" w:oddVBand="0" w:evenVBand="0" w:oddHBand="0" w:evenHBand="0" w:firstRowFirstColumn="0" w:firstRowLastColumn="0" w:lastRowFirstColumn="0" w:lastRowLastColumn="0"/>
            </w:pPr>
            <w:r>
              <w:t>$1.2M</w:t>
            </w:r>
          </w:p>
        </w:tc>
        <w:tc>
          <w:tcPr>
            <w:tcW w:w="2351" w:type="dxa"/>
          </w:tcPr>
          <w:p w14:paraId="468BFE46" w14:textId="77777777" w:rsidR="00854BEB" w:rsidRDefault="00854BEB" w:rsidP="004C4F22">
            <w:pPr>
              <w:cnfStyle w:val="000000000000" w:firstRow="0" w:lastRow="0" w:firstColumn="0" w:lastColumn="0" w:oddVBand="0" w:evenVBand="0" w:oddHBand="0" w:evenHBand="0" w:firstRowFirstColumn="0" w:firstRowLastColumn="0" w:lastRowFirstColumn="0" w:lastRowLastColumn="0"/>
            </w:pPr>
            <w:r>
              <w:t>Full Azure migration in 16 weeks, SOC 2 compliant</w:t>
            </w:r>
          </w:p>
        </w:tc>
      </w:tr>
      <w:tr w:rsidR="00854BEB" w14:paraId="13E47F2D"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C2B17E0" w14:textId="77777777" w:rsidR="00854BEB" w:rsidRDefault="00854BEB" w:rsidP="004C4F22">
            <w:r>
              <w:t>Commonwealth Insurance</w:t>
            </w:r>
          </w:p>
        </w:tc>
        <w:tc>
          <w:tcPr>
            <w:tcW w:w="2351" w:type="dxa"/>
          </w:tcPr>
          <w:p w14:paraId="0C3FB330"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Post-merger technology integration</w:t>
            </w:r>
          </w:p>
        </w:tc>
        <w:tc>
          <w:tcPr>
            <w:tcW w:w="2351" w:type="dxa"/>
          </w:tcPr>
          <w:p w14:paraId="02C9DE81"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$2.1M</w:t>
            </w:r>
          </w:p>
        </w:tc>
        <w:tc>
          <w:tcPr>
            <w:tcW w:w="2351" w:type="dxa"/>
          </w:tcPr>
          <w:p w14:paraId="1569B8D5"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3 platforms consolidated to 1, $4.2M annual cost reduction</w:t>
            </w:r>
          </w:p>
        </w:tc>
      </w:tr>
      <w:tr w:rsidR="00854BEB" w14:paraId="4A3A1AA6"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3FEFA9E1" w14:textId="77777777" w:rsidR="00854BEB" w:rsidRDefault="00854BEB" w:rsidP="004C4F22">
            <w:r>
              <w:t>Pinnacle Credit Union</w:t>
            </w:r>
          </w:p>
        </w:tc>
        <w:tc>
          <w:tcPr>
            <w:tcW w:w="2351" w:type="dxa"/>
          </w:tcPr>
          <w:p w14:paraId="6854EFFB" w14:textId="77777777" w:rsidR="00854BEB" w:rsidRDefault="00854BEB" w:rsidP="004C4F22">
            <w:pPr>
              <w:cnfStyle w:val="000000000000" w:firstRow="0" w:lastRow="0" w:firstColumn="0" w:lastColumn="0" w:oddVBand="0" w:evenVBand="0" w:oddHBand="0" w:evenHBand="0" w:firstRowFirstColumn="0" w:firstRowLastColumn="0" w:lastRowFirstColumn="0" w:lastRowLastColumn="0"/>
            </w:pPr>
            <w:r>
              <w:t>Data strategy + analytics modernization</w:t>
            </w:r>
          </w:p>
        </w:tc>
        <w:tc>
          <w:tcPr>
            <w:tcW w:w="2351" w:type="dxa"/>
          </w:tcPr>
          <w:p w14:paraId="1D8768D2" w14:textId="77777777" w:rsidR="00854BEB" w:rsidRDefault="00854BEB" w:rsidP="004C4F22">
            <w:pPr>
              <w:cnfStyle w:val="000000000000" w:firstRow="0" w:lastRow="0" w:firstColumn="0" w:lastColumn="0" w:oddVBand="0" w:evenVBand="0" w:oddHBand="0" w:evenHBand="0" w:firstRowFirstColumn="0" w:firstRowLastColumn="0" w:lastRowFirstColumn="0" w:lastRowLastColumn="0"/>
            </w:pPr>
            <w:r>
              <w:t>$650K</w:t>
            </w:r>
          </w:p>
        </w:tc>
        <w:tc>
          <w:tcPr>
            <w:tcW w:w="2351" w:type="dxa"/>
          </w:tcPr>
          <w:p w14:paraId="6ECD04B2" w14:textId="77777777" w:rsidR="00854BEB" w:rsidRDefault="00854BEB" w:rsidP="004C4F22">
            <w:pPr>
              <w:cnfStyle w:val="000000000000" w:firstRow="0" w:lastRow="0" w:firstColumn="0" w:lastColumn="0" w:oddVBand="0" w:evenVBand="0" w:oddHBand="0" w:evenHBand="0" w:firstRowFirstColumn="0" w:firstRowLastColumn="0" w:lastRowFirstColumn="0" w:lastRowLastColumn="0"/>
            </w:pPr>
            <w:r>
              <w:t>First enterprise data warehouse, 40% reduction in manual reporting</w:t>
            </w:r>
          </w:p>
        </w:tc>
      </w:tr>
      <w:tr w:rsidR="00854BEB" w14:paraId="010BB94C"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21D210E" w14:textId="77777777" w:rsidR="00854BEB" w:rsidRDefault="00854BEB" w:rsidP="004C4F22">
            <w:r>
              <w:t>Trident Capital Markets</w:t>
            </w:r>
          </w:p>
        </w:tc>
        <w:tc>
          <w:tcPr>
            <w:tcW w:w="2351" w:type="dxa"/>
          </w:tcPr>
          <w:p w14:paraId="2289EC41"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Trading platform modernization</w:t>
            </w:r>
          </w:p>
        </w:tc>
        <w:tc>
          <w:tcPr>
            <w:tcW w:w="2351" w:type="dxa"/>
          </w:tcPr>
          <w:p w14:paraId="20394F1C"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$1.6M</w:t>
            </w:r>
          </w:p>
        </w:tc>
        <w:tc>
          <w:tcPr>
            <w:tcW w:w="2351" w:type="dxa"/>
          </w:tcPr>
          <w:p w14:paraId="519CA250" w14:textId="77777777" w:rsidR="00854BEB" w:rsidRDefault="00854BEB" w:rsidP="004C4F22">
            <w:pPr>
              <w:cnfStyle w:val="000000100000" w:firstRow="0" w:lastRow="0" w:firstColumn="0" w:lastColumn="0" w:oddVBand="0" w:evenVBand="0" w:oddHBand="1" w:evenHBand="0" w:firstRowFirstColumn="0" w:firstRowLastColumn="0" w:lastRowFirstColumn="0" w:lastRowLastColumn="0"/>
            </w:pPr>
            <w:r>
              <w:t xml:space="preserve">Legacy platform replaced, 3x </w:t>
            </w:r>
            <w:r>
              <w:lastRenderedPageBreak/>
              <w:t>throughput improvement</w:t>
            </w:r>
          </w:p>
        </w:tc>
      </w:tr>
    </w:tbl>
    <w:p w14:paraId="39D0511B" w14:textId="77777777" w:rsidR="00854BEB" w:rsidRDefault="00854BEB" w:rsidP="00854BEB"/>
    <w:p w14:paraId="07C45101" w14:textId="77777777" w:rsidR="00854BEB" w:rsidRDefault="00854BEB" w:rsidP="00854BEB">
      <w:pPr>
        <w:pStyle w:val="Heading2"/>
      </w:pPr>
      <w:r>
        <w:t>Competitive Landscape</w:t>
      </w:r>
    </w:p>
    <w:p w14:paraId="11644A4A" w14:textId="77777777" w:rsidR="00854BEB" w:rsidRDefault="00854BEB" w:rsidP="00854BEB">
      <w:r>
        <w:t>In the mid-market financial services segment, Meridian competes primarily with:</w:t>
      </w:r>
    </w:p>
    <w:p w14:paraId="4F82B1D4" w14:textId="77777777" w:rsidR="00854BEB" w:rsidRDefault="00854BEB" w:rsidP="00854BEB">
      <w:pPr>
        <w:pStyle w:val="ListBullet"/>
        <w:tabs>
          <w:tab w:val="num" w:pos="360"/>
        </w:tabs>
        <w:ind w:left="360" w:hanging="360"/>
      </w:pPr>
      <w:r>
        <w:t>Capgemini / Sogeti — strong in European regulatory compliance but limited US mid-market presence</w:t>
      </w:r>
    </w:p>
    <w:p w14:paraId="63ECEDA7" w14:textId="77777777" w:rsidR="00854BEB" w:rsidRDefault="00854BEB" w:rsidP="00854BEB">
      <w:pPr>
        <w:pStyle w:val="ListBullet"/>
        <w:tabs>
          <w:tab w:val="num" w:pos="360"/>
        </w:tabs>
        <w:ind w:left="360" w:hanging="360"/>
      </w:pPr>
      <w:r>
        <w:t>West Monroe — similar positioning in mid-market but weaker in data &amp; AI depth</w:t>
      </w:r>
    </w:p>
    <w:p w14:paraId="1365FF21" w14:textId="77777777" w:rsidR="00854BEB" w:rsidRDefault="00854BEB" w:rsidP="00854BEB">
      <w:pPr>
        <w:pStyle w:val="ListBullet"/>
        <w:tabs>
          <w:tab w:val="num" w:pos="360"/>
        </w:tabs>
        <w:ind w:left="360" w:hanging="360"/>
      </w:pPr>
      <w:r>
        <w:t>Slalom — strong Microsoft relationship but generalist positioning, less financial services depth</w:t>
      </w:r>
    </w:p>
    <w:p w14:paraId="4AF95833" w14:textId="77777777" w:rsidR="00854BEB" w:rsidRDefault="00854BEB" w:rsidP="00854BEB">
      <w:pPr>
        <w:pStyle w:val="ListBullet"/>
        <w:tabs>
          <w:tab w:val="num" w:pos="360"/>
        </w:tabs>
        <w:ind w:left="360" w:hanging="360"/>
      </w:pPr>
      <w:r>
        <w:t>Protiviti — strong in risk and compliance but limited technology implementation capability</w:t>
      </w:r>
    </w:p>
    <w:p w14:paraId="5AB973BE" w14:textId="77777777" w:rsidR="00854BEB" w:rsidRDefault="00854BEB" w:rsidP="00854BEB">
      <w:pPr>
        <w:pStyle w:val="ListBullet"/>
        <w:tabs>
          <w:tab w:val="num" w:pos="360"/>
        </w:tabs>
        <w:ind w:left="360" w:hanging="360"/>
      </w:pPr>
      <w:r>
        <w:t>Niche AI/fintech consultancies — deep in specific technology but lack end-to-end advisory</w:t>
      </w:r>
    </w:p>
    <w:p w14:paraId="179A2A59" w14:textId="77777777" w:rsidR="00854BEB" w:rsidRDefault="00854BEB" w:rsidP="00854BEB">
      <w:r>
        <w:t>Meridian's differentiation: the combination of deep financial services regulatory knowledge, hands-on technology implementation capability (particularly in the Microsoft ecosystem), and outcome-based engagement models that align our incentives with client results.</w:t>
      </w:r>
    </w:p>
    <w:p w14:paraId="41BC26E6" w14:textId="77777777" w:rsidR="00923E5B" w:rsidRDefault="00923E5B"/>
    <w:sectPr w:rsidR="00923E5B" w:rsidSect="00854BE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63EF3C6"/>
    <w:lvl w:ilvl="0">
      <w:start w:val="1"/>
      <w:numFmt w:val="bullet"/>
      <w:pStyle w:val="ListBullet"/>
      <w:lvlText w:val=""/>
      <w:lvlJc w:val="left"/>
      <w:pPr>
        <w:tabs>
          <w:tab w:val="num" w:pos="360"/>
        </w:tabs>
        <w:ind w:left="360" w:hanging="360"/>
      </w:pPr>
      <w:rPr>
        <w:rFonts w:ascii="Symbol" w:hAnsi="Symbol" w:hint="default"/>
      </w:rPr>
    </w:lvl>
  </w:abstractNum>
  <w:num w:numId="1" w16cid:durableId="123315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BEB"/>
    <w:rsid w:val="002A4327"/>
    <w:rsid w:val="00552E0D"/>
    <w:rsid w:val="005D68D3"/>
    <w:rsid w:val="00854BEB"/>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665E91"/>
  <w15:chartTrackingRefBased/>
  <w15:docId w15:val="{76077A77-2F42-7F4F-972A-A862546F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BEB"/>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854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4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4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4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4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BEB"/>
    <w:rPr>
      <w:rFonts w:eastAsiaTheme="majorEastAsia" w:cstheme="majorBidi"/>
      <w:color w:val="272727" w:themeColor="text1" w:themeTint="D8"/>
    </w:rPr>
  </w:style>
  <w:style w:type="paragraph" w:styleId="Title">
    <w:name w:val="Title"/>
    <w:basedOn w:val="Normal"/>
    <w:next w:val="Normal"/>
    <w:link w:val="TitleChar"/>
    <w:uiPriority w:val="10"/>
    <w:qFormat/>
    <w:rsid w:val="00854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BEB"/>
    <w:pPr>
      <w:spacing w:before="160"/>
      <w:jc w:val="center"/>
    </w:pPr>
    <w:rPr>
      <w:i/>
      <w:iCs/>
      <w:color w:val="404040" w:themeColor="text1" w:themeTint="BF"/>
    </w:rPr>
  </w:style>
  <w:style w:type="character" w:customStyle="1" w:styleId="QuoteChar">
    <w:name w:val="Quote Char"/>
    <w:basedOn w:val="DefaultParagraphFont"/>
    <w:link w:val="Quote"/>
    <w:uiPriority w:val="29"/>
    <w:rsid w:val="00854BEB"/>
    <w:rPr>
      <w:i/>
      <w:iCs/>
      <w:color w:val="404040" w:themeColor="text1" w:themeTint="BF"/>
    </w:rPr>
  </w:style>
  <w:style w:type="paragraph" w:styleId="ListParagraph">
    <w:name w:val="List Paragraph"/>
    <w:basedOn w:val="Normal"/>
    <w:uiPriority w:val="34"/>
    <w:qFormat/>
    <w:rsid w:val="00854BEB"/>
    <w:pPr>
      <w:ind w:left="720"/>
      <w:contextualSpacing/>
    </w:pPr>
  </w:style>
  <w:style w:type="character" w:styleId="IntenseEmphasis">
    <w:name w:val="Intense Emphasis"/>
    <w:basedOn w:val="DefaultParagraphFont"/>
    <w:uiPriority w:val="21"/>
    <w:qFormat/>
    <w:rsid w:val="00854BEB"/>
    <w:rPr>
      <w:i/>
      <w:iCs/>
      <w:color w:val="0F4761" w:themeColor="accent1" w:themeShade="BF"/>
    </w:rPr>
  </w:style>
  <w:style w:type="paragraph" w:styleId="IntenseQuote">
    <w:name w:val="Intense Quote"/>
    <w:basedOn w:val="Normal"/>
    <w:next w:val="Normal"/>
    <w:link w:val="IntenseQuoteChar"/>
    <w:uiPriority w:val="30"/>
    <w:qFormat/>
    <w:rsid w:val="00854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BEB"/>
    <w:rPr>
      <w:i/>
      <w:iCs/>
      <w:color w:val="0F4761" w:themeColor="accent1" w:themeShade="BF"/>
    </w:rPr>
  </w:style>
  <w:style w:type="character" w:styleId="IntenseReference">
    <w:name w:val="Intense Reference"/>
    <w:basedOn w:val="DefaultParagraphFont"/>
    <w:uiPriority w:val="32"/>
    <w:qFormat/>
    <w:rsid w:val="00854BEB"/>
    <w:rPr>
      <w:b/>
      <w:bCs/>
      <w:smallCaps/>
      <w:color w:val="0F4761" w:themeColor="accent1" w:themeShade="BF"/>
      <w:spacing w:val="5"/>
    </w:rPr>
  </w:style>
  <w:style w:type="paragraph" w:styleId="ListBullet">
    <w:name w:val="List Bullet"/>
    <w:basedOn w:val="Normal"/>
    <w:uiPriority w:val="99"/>
    <w:unhideWhenUsed/>
    <w:rsid w:val="00854BEB"/>
    <w:pPr>
      <w:numPr>
        <w:numId w:val="1"/>
      </w:numPr>
      <w:tabs>
        <w:tab w:val="clear" w:pos="360"/>
      </w:tabs>
      <w:ind w:left="0" w:firstLine="0"/>
      <w:contextualSpacing/>
    </w:pPr>
  </w:style>
  <w:style w:type="table" w:styleId="LightShading-Accent1">
    <w:name w:val="Light Shading Accent 1"/>
    <w:basedOn w:val="TableNormal"/>
    <w:uiPriority w:val="60"/>
    <w:rsid w:val="00854BEB"/>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562</Words>
  <Characters>3901</Characters>
  <Application>Microsoft Office Word</Application>
  <DocSecurity>0</DocSecurity>
  <Lines>102</Lines>
  <Paragraphs>53</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2026-05-25T14:03:00Z</dcterms:created>
  <dcterms:modified xsi:type="dcterms:W3CDTF">2026-05-25T14:04:00Z</dcterms:modified>
</cp:coreProperties>
</file>