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AECA" w14:textId="77777777" w:rsidR="00430891" w:rsidRDefault="00430891" w:rsidP="00430891">
      <w:r>
        <w:rPr>
          <w:b/>
          <w:color w:val="1B3A5C"/>
          <w:sz w:val="20"/>
        </w:rPr>
        <w:t>MERIDIAN ADVISORY GROUP</w:t>
      </w:r>
    </w:p>
    <w:p w14:paraId="46795AB1" w14:textId="77777777" w:rsidR="00430891" w:rsidRDefault="00430891" w:rsidP="00430891">
      <w:pPr>
        <w:pStyle w:val="Heading1"/>
      </w:pPr>
      <w:r>
        <w:t>Industry Brief: Healthcare Advisory</w:t>
      </w:r>
    </w:p>
    <w:p w14:paraId="389913F0" w14:textId="77777777" w:rsidR="00430891" w:rsidRDefault="00430891" w:rsidP="00430891">
      <w:r>
        <w:rPr>
          <w:i/>
          <w:color w:val="666666"/>
          <w:sz w:val="24"/>
        </w:rPr>
        <w:t>Market Trends, Regulatory Landscape &amp; Meridian Positioning</w:t>
      </w:r>
    </w:p>
    <w:p w14:paraId="639EBDA5" w14:textId="77777777" w:rsidR="00430891" w:rsidRDefault="00430891" w:rsidP="00430891">
      <w:r>
        <w:rPr>
          <w:color w:val="999999"/>
          <w:sz w:val="16"/>
        </w:rPr>
        <w:t>INTERNAL — CONFIDENTIAL</w:t>
      </w:r>
    </w:p>
    <w:p w14:paraId="5BDE4C84" w14:textId="77777777" w:rsidR="00430891" w:rsidRDefault="00430891" w:rsidP="00430891"/>
    <w:p w14:paraId="7A2A3B2B" w14:textId="77777777" w:rsidR="00430891" w:rsidRDefault="00430891" w:rsidP="00430891">
      <w:pPr>
        <w:pStyle w:val="Heading2"/>
      </w:pPr>
      <w:r>
        <w:t>Market Overview</w:t>
      </w:r>
    </w:p>
    <w:p w14:paraId="412CCAF2" w14:textId="77777777" w:rsidR="00430891" w:rsidRDefault="00430891" w:rsidP="00430891">
      <w:r>
        <w:t>US healthcare is a $4.5 trillion industry facing simultaneous pressures from margin compression, workforce shortages, regulatory complexity, and the urgent need to modernize technology infrastructure that in many health systems still runs on platforms deployed before the iPhone was invented. Advisory spending in healthcare is projected at $22B in 2026, with clinical operations technology and data analytics representing the highest-growth segments.</w:t>
      </w:r>
    </w:p>
    <w:p w14:paraId="6E727629" w14:textId="77777777" w:rsidR="00430891" w:rsidRDefault="00430891" w:rsidP="00430891">
      <w:pPr>
        <w:pStyle w:val="Heading2"/>
      </w:pPr>
      <w:r>
        <w:t>Key Trends Driving Advisory Demand</w:t>
      </w:r>
    </w:p>
    <w:p w14:paraId="382BF157" w14:textId="77777777" w:rsidR="00430891" w:rsidRDefault="00430891" w:rsidP="00430891">
      <w:pPr>
        <w:pStyle w:val="Heading3"/>
      </w:pPr>
      <w:r>
        <w:t>1. Clinical Operations &amp; Workforce Efficiency</w:t>
      </w:r>
    </w:p>
    <w:p w14:paraId="08D66668" w14:textId="77777777" w:rsidR="00430891" w:rsidRDefault="00430891" w:rsidP="00430891">
      <w:r>
        <w:t>Healthcare systems are operating with nursing vacancy rates above 15% nationally and physician burnout at record levels. Technology that reduces administrative burden — ambient clinical documentation, AI-assisted coding, automated prior authorization — is the #1 investment priority for most health system CIOs. The ROI case writes itself: every hour saved in documentation is an hour returned to patient care.</w:t>
      </w:r>
    </w:p>
    <w:p w14:paraId="2423686B" w14:textId="77777777" w:rsidR="00430891" w:rsidRDefault="00430891" w:rsidP="00430891">
      <w:r>
        <w:t>Meridian positioning: Microsoft 365 and Copilot deployment for clinical workflows, Teams-based care coordination, ambient AI documentation strategy</w:t>
      </w:r>
    </w:p>
    <w:p w14:paraId="7D699308" w14:textId="77777777" w:rsidR="00430891" w:rsidRDefault="00430891" w:rsidP="00430891">
      <w:pPr>
        <w:pStyle w:val="Heading3"/>
      </w:pPr>
      <w:r>
        <w:t>2. Data Interoperability &amp; Analytics</w:t>
      </w:r>
    </w:p>
    <w:p w14:paraId="563A82A8" w14:textId="77777777" w:rsidR="00430891" w:rsidRDefault="00430891" w:rsidP="00430891">
      <w:r>
        <w:t>CMS interoperability mandates (21st Century Cures Act, TEFCA) are forcing health systems to open data pipelines that have been locked in EHR silos. This creates both a compliance obligation and an analytics opportunity — organizations that build modern data platforms can unlock population health insights, operational analytics, and AI capabilities that were impossible with siloed data.</w:t>
      </w:r>
    </w:p>
    <w:p w14:paraId="1DB33E53" w14:textId="77777777" w:rsidR="00430891" w:rsidRDefault="00430891" w:rsidP="00430891">
      <w:r>
        <w:t>Meridian positioning: Healthcare data platform architecture (Azure + FHIR), clinical analytics and population health, data governance for HIPAA environments</w:t>
      </w:r>
    </w:p>
    <w:p w14:paraId="006AC116" w14:textId="77777777" w:rsidR="00430891" w:rsidRDefault="00430891" w:rsidP="00430891">
      <w:pPr>
        <w:pStyle w:val="Heading3"/>
      </w:pPr>
      <w:r>
        <w:t>3. Cybersecurity &amp; Compliance</w:t>
      </w:r>
    </w:p>
    <w:p w14:paraId="1A7E0EAF" w14:textId="77777777" w:rsidR="00430891" w:rsidRDefault="00430891" w:rsidP="00430891">
      <w:r>
        <w:t xml:space="preserve">Healthcare experienced 725 reported data breaches in 2025, affecting over 133 million patient records. The convergence of connected medical devices, remote work, and legacy systems creates an attack </w:t>
      </w:r>
      <w:r>
        <w:lastRenderedPageBreak/>
        <w:t>surface that most health system security teams are not resourced to defend. HIPAA enforcement is intensifying, with average breach penalties increasing 40% year-over-year.</w:t>
      </w:r>
    </w:p>
    <w:p w14:paraId="7106110F" w14:textId="77777777" w:rsidR="00430891" w:rsidRDefault="00430891" w:rsidP="00430891">
      <w:r>
        <w:t>Meridian positioning: Microsoft security stack deployment (Defender, Sentinel, Purview), zero trust architecture for healthcare, HIPAA compliance automation</w:t>
      </w:r>
    </w:p>
    <w:p w14:paraId="10C96EB7" w14:textId="77777777" w:rsidR="00430891" w:rsidRDefault="00430891" w:rsidP="00430891">
      <w:pPr>
        <w:pStyle w:val="Heading3"/>
      </w:pPr>
      <w:r>
        <w:t>4. Digital Front Door &amp; Patient Experience</w:t>
      </w:r>
    </w:p>
    <w:p w14:paraId="1AA920C0" w14:textId="77777777" w:rsidR="00430891" w:rsidRDefault="00430891" w:rsidP="00430891">
      <w:r>
        <w:t>Patient expectations are shifting toward digital-first interactions — online scheduling, virtual visits, AI-powered symptom triage, and seamless communication with care teams. Health systems that fail to deliver a consumer-grade digital experience are losing patients to competitors who do.</w:t>
      </w:r>
    </w:p>
    <w:p w14:paraId="655A170D" w14:textId="77777777" w:rsidR="00430891" w:rsidRDefault="00430891" w:rsidP="00430891">
      <w:r>
        <w:t>Meridian positioning: Patient engagement platform strategy, telehealth optimization, Microsoft Cloud for Healthcare implementation</w:t>
      </w:r>
    </w:p>
    <w:p w14:paraId="4C333B7E" w14:textId="77777777" w:rsidR="00430891" w:rsidRDefault="00430891" w:rsidP="00430891">
      <w:pPr>
        <w:pStyle w:val="Heading2"/>
      </w:pPr>
      <w:r>
        <w:t>Meridian Healthcare Track Record</w:t>
      </w:r>
    </w:p>
    <w:tbl>
      <w:tblPr>
        <w:tblStyle w:val="LightShading-Accent1"/>
        <w:tblW w:w="0" w:type="auto"/>
        <w:tblLook w:val="04A0" w:firstRow="1" w:lastRow="0" w:firstColumn="1" w:lastColumn="0" w:noHBand="0" w:noVBand="1"/>
      </w:tblPr>
      <w:tblGrid>
        <w:gridCol w:w="2351"/>
        <w:gridCol w:w="2351"/>
        <w:gridCol w:w="2351"/>
        <w:gridCol w:w="2351"/>
      </w:tblGrid>
      <w:tr w:rsidR="00430891" w14:paraId="27E6DA6F"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7E2E95" w14:textId="77777777" w:rsidR="00430891" w:rsidRDefault="00430891" w:rsidP="004C4F22">
            <w:r>
              <w:t>Client</w:t>
            </w:r>
          </w:p>
        </w:tc>
        <w:tc>
          <w:tcPr>
            <w:tcW w:w="2351" w:type="dxa"/>
          </w:tcPr>
          <w:p w14:paraId="57CDF3DA" w14:textId="77777777" w:rsidR="00430891" w:rsidRDefault="00430891" w:rsidP="004C4F22">
            <w:pPr>
              <w:cnfStyle w:val="100000000000" w:firstRow="1" w:lastRow="0" w:firstColumn="0" w:lastColumn="0" w:oddVBand="0" w:evenVBand="0" w:oddHBand="0" w:evenHBand="0" w:firstRowFirstColumn="0" w:firstRowLastColumn="0" w:lastRowFirstColumn="0" w:lastRowLastColumn="0"/>
            </w:pPr>
            <w:r>
              <w:t>Engagement</w:t>
            </w:r>
          </w:p>
        </w:tc>
        <w:tc>
          <w:tcPr>
            <w:tcW w:w="2351" w:type="dxa"/>
          </w:tcPr>
          <w:p w14:paraId="1310D75A" w14:textId="77777777" w:rsidR="00430891" w:rsidRDefault="00430891" w:rsidP="004C4F22">
            <w:pPr>
              <w:cnfStyle w:val="100000000000" w:firstRow="1" w:lastRow="0" w:firstColumn="0" w:lastColumn="0" w:oddVBand="0" w:evenVBand="0" w:oddHBand="0" w:evenHBand="0" w:firstRowFirstColumn="0" w:firstRowLastColumn="0" w:lastRowFirstColumn="0" w:lastRowLastColumn="0"/>
            </w:pPr>
            <w:r>
              <w:t>Value</w:t>
            </w:r>
          </w:p>
        </w:tc>
        <w:tc>
          <w:tcPr>
            <w:tcW w:w="2351" w:type="dxa"/>
          </w:tcPr>
          <w:p w14:paraId="0822536B" w14:textId="77777777" w:rsidR="00430891" w:rsidRDefault="00430891" w:rsidP="004C4F22">
            <w:pPr>
              <w:cnfStyle w:val="100000000000" w:firstRow="1" w:lastRow="0" w:firstColumn="0" w:lastColumn="0" w:oddVBand="0" w:evenVBand="0" w:oddHBand="0" w:evenHBand="0" w:firstRowFirstColumn="0" w:firstRowLastColumn="0" w:lastRowFirstColumn="0" w:lastRowLastColumn="0"/>
            </w:pPr>
            <w:r>
              <w:t>Outcome</w:t>
            </w:r>
          </w:p>
        </w:tc>
      </w:tr>
      <w:tr w:rsidR="00430891" w14:paraId="5506B088"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568E64" w14:textId="77777777" w:rsidR="00430891" w:rsidRDefault="00430891" w:rsidP="004C4F22">
            <w:r>
              <w:t>NovaCare Health Systems</w:t>
            </w:r>
          </w:p>
        </w:tc>
        <w:tc>
          <w:tcPr>
            <w:tcW w:w="2351" w:type="dxa"/>
          </w:tcPr>
          <w:p w14:paraId="39A189C4"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Clinical ops transformation + M365</w:t>
            </w:r>
          </w:p>
        </w:tc>
        <w:tc>
          <w:tcPr>
            <w:tcW w:w="2351" w:type="dxa"/>
          </w:tcPr>
          <w:p w14:paraId="052EEC37"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$2.4M</w:t>
            </w:r>
          </w:p>
        </w:tc>
        <w:tc>
          <w:tcPr>
            <w:tcW w:w="2351" w:type="dxa"/>
          </w:tcPr>
          <w:p w14:paraId="74289C72"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96% reduction in PHI incidents, +23pt physician satisfaction</w:t>
            </w:r>
          </w:p>
        </w:tc>
      </w:tr>
      <w:tr w:rsidR="00430891" w14:paraId="4DBE7CFA"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7CAF39A1" w14:textId="77777777" w:rsidR="00430891" w:rsidRDefault="00430891" w:rsidP="004C4F22">
            <w:r>
              <w:t>CareFirst BlueCross</w:t>
            </w:r>
          </w:p>
        </w:tc>
        <w:tc>
          <w:tcPr>
            <w:tcW w:w="2351" w:type="dxa"/>
          </w:tcPr>
          <w:p w14:paraId="6942C8BA" w14:textId="77777777" w:rsidR="00430891" w:rsidRDefault="00430891" w:rsidP="004C4F22">
            <w:pPr>
              <w:cnfStyle w:val="000000000000" w:firstRow="0" w:lastRow="0" w:firstColumn="0" w:lastColumn="0" w:oddVBand="0" w:evenVBand="0" w:oddHBand="0" w:evenHBand="0" w:firstRowFirstColumn="0" w:firstRowLastColumn="0" w:lastRowFirstColumn="0" w:lastRowLastColumn="0"/>
            </w:pPr>
            <w:r>
              <w:t>Claims analytics platform</w:t>
            </w:r>
          </w:p>
        </w:tc>
        <w:tc>
          <w:tcPr>
            <w:tcW w:w="2351" w:type="dxa"/>
          </w:tcPr>
          <w:p w14:paraId="421B6F59" w14:textId="77777777" w:rsidR="00430891" w:rsidRDefault="00430891" w:rsidP="004C4F22">
            <w:pPr>
              <w:cnfStyle w:val="000000000000" w:firstRow="0" w:lastRow="0" w:firstColumn="0" w:lastColumn="0" w:oddVBand="0" w:evenVBand="0" w:oddHBand="0" w:evenHBand="0" w:firstRowFirstColumn="0" w:firstRowLastColumn="0" w:lastRowFirstColumn="0" w:lastRowLastColumn="0"/>
            </w:pPr>
            <w:r>
              <w:t>$1.1M</w:t>
            </w:r>
          </w:p>
        </w:tc>
        <w:tc>
          <w:tcPr>
            <w:tcW w:w="2351" w:type="dxa"/>
          </w:tcPr>
          <w:p w14:paraId="318B72C3" w14:textId="77777777" w:rsidR="00430891" w:rsidRDefault="00430891" w:rsidP="004C4F22">
            <w:pPr>
              <w:cnfStyle w:val="000000000000" w:firstRow="0" w:lastRow="0" w:firstColumn="0" w:lastColumn="0" w:oddVBand="0" w:evenVBand="0" w:oddHBand="0" w:evenHBand="0" w:firstRowFirstColumn="0" w:firstRowLastColumn="0" w:lastRowFirstColumn="0" w:lastRowLastColumn="0"/>
            </w:pPr>
            <w:r>
              <w:t>42% reduction in claims processing time, $8M fraud detected</w:t>
            </w:r>
          </w:p>
        </w:tc>
      </w:tr>
      <w:tr w:rsidR="00430891" w14:paraId="482235B7"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FCD705E" w14:textId="77777777" w:rsidR="00430891" w:rsidRDefault="00430891" w:rsidP="004C4F22">
            <w:r>
              <w:t>Regional Medical Center Alliance</w:t>
            </w:r>
          </w:p>
        </w:tc>
        <w:tc>
          <w:tcPr>
            <w:tcW w:w="2351" w:type="dxa"/>
          </w:tcPr>
          <w:p w14:paraId="275C8F0E"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EHR integration + data platform</w:t>
            </w:r>
          </w:p>
        </w:tc>
        <w:tc>
          <w:tcPr>
            <w:tcW w:w="2351" w:type="dxa"/>
          </w:tcPr>
          <w:p w14:paraId="24E8DBD0"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$1.6M</w:t>
            </w:r>
          </w:p>
        </w:tc>
        <w:tc>
          <w:tcPr>
            <w:tcW w:w="2351" w:type="dxa"/>
          </w:tcPr>
          <w:p w14:paraId="1445783B"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First unified patient view across 4 hospitals</w:t>
            </w:r>
          </w:p>
        </w:tc>
      </w:tr>
      <w:tr w:rsidR="00430891" w14:paraId="163AFC3B" w14:textId="77777777" w:rsidTr="004C4F22">
        <w:tc>
          <w:tcPr>
            <w:cnfStyle w:val="001000000000" w:firstRow="0" w:lastRow="0" w:firstColumn="1" w:lastColumn="0" w:oddVBand="0" w:evenVBand="0" w:oddHBand="0" w:evenHBand="0" w:firstRowFirstColumn="0" w:firstRowLastColumn="0" w:lastRowFirstColumn="0" w:lastRowLastColumn="0"/>
            <w:tcW w:w="2351" w:type="dxa"/>
          </w:tcPr>
          <w:p w14:paraId="637395DB" w14:textId="77777777" w:rsidR="00430891" w:rsidRDefault="00430891" w:rsidP="004C4F22">
            <w:r>
              <w:t>Bright Horizons Behavioral Health</w:t>
            </w:r>
          </w:p>
        </w:tc>
        <w:tc>
          <w:tcPr>
            <w:tcW w:w="2351" w:type="dxa"/>
          </w:tcPr>
          <w:p w14:paraId="6448CD5F" w14:textId="77777777" w:rsidR="00430891" w:rsidRDefault="00430891" w:rsidP="004C4F22">
            <w:pPr>
              <w:cnfStyle w:val="000000000000" w:firstRow="0" w:lastRow="0" w:firstColumn="0" w:lastColumn="0" w:oddVBand="0" w:evenVBand="0" w:oddHBand="0" w:evenHBand="0" w:firstRowFirstColumn="0" w:firstRowLastColumn="0" w:lastRowFirstColumn="0" w:lastRowLastColumn="0"/>
            </w:pPr>
            <w:r>
              <w:t>Telehealth platform + compliance</w:t>
            </w:r>
          </w:p>
        </w:tc>
        <w:tc>
          <w:tcPr>
            <w:tcW w:w="2351" w:type="dxa"/>
          </w:tcPr>
          <w:p w14:paraId="57FB950B" w14:textId="77777777" w:rsidR="00430891" w:rsidRDefault="00430891" w:rsidP="004C4F22">
            <w:pPr>
              <w:cnfStyle w:val="000000000000" w:firstRow="0" w:lastRow="0" w:firstColumn="0" w:lastColumn="0" w:oddVBand="0" w:evenVBand="0" w:oddHBand="0" w:evenHBand="0" w:firstRowFirstColumn="0" w:firstRowLastColumn="0" w:lastRowFirstColumn="0" w:lastRowLastColumn="0"/>
            </w:pPr>
            <w:r>
              <w:t>$480K</w:t>
            </w:r>
          </w:p>
        </w:tc>
        <w:tc>
          <w:tcPr>
            <w:tcW w:w="2351" w:type="dxa"/>
          </w:tcPr>
          <w:p w14:paraId="6991B789" w14:textId="77777777" w:rsidR="00430891" w:rsidRDefault="00430891" w:rsidP="004C4F22">
            <w:pPr>
              <w:cnfStyle w:val="000000000000" w:firstRow="0" w:lastRow="0" w:firstColumn="0" w:lastColumn="0" w:oddVBand="0" w:evenVBand="0" w:oddHBand="0" w:evenHBand="0" w:firstRowFirstColumn="0" w:firstRowLastColumn="0" w:lastRowFirstColumn="0" w:lastRowLastColumn="0"/>
            </w:pPr>
            <w:r>
              <w:t>Telehealth volume 5x in 6 months, HIPAA audit passed</w:t>
            </w:r>
          </w:p>
        </w:tc>
      </w:tr>
      <w:tr w:rsidR="00430891" w14:paraId="00BD75D7"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FEB27C4" w14:textId="77777777" w:rsidR="00430891" w:rsidRDefault="00430891" w:rsidP="004C4F22">
            <w:r>
              <w:t>Pacific Northwest Health Plan</w:t>
            </w:r>
          </w:p>
        </w:tc>
        <w:tc>
          <w:tcPr>
            <w:tcW w:w="2351" w:type="dxa"/>
          </w:tcPr>
          <w:p w14:paraId="2B617D38"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Member analytics + risk stratification</w:t>
            </w:r>
          </w:p>
        </w:tc>
        <w:tc>
          <w:tcPr>
            <w:tcW w:w="2351" w:type="dxa"/>
          </w:tcPr>
          <w:p w14:paraId="560DA04A"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$920K</w:t>
            </w:r>
          </w:p>
        </w:tc>
        <w:tc>
          <w:tcPr>
            <w:tcW w:w="2351" w:type="dxa"/>
          </w:tcPr>
          <w:p w14:paraId="63CB13A4" w14:textId="77777777" w:rsidR="00430891" w:rsidRDefault="00430891" w:rsidP="004C4F22">
            <w:pPr>
              <w:cnfStyle w:val="000000100000" w:firstRow="0" w:lastRow="0" w:firstColumn="0" w:lastColumn="0" w:oddVBand="0" w:evenVBand="0" w:oddHBand="1" w:evenHBand="0" w:firstRowFirstColumn="0" w:firstRowLastColumn="0" w:lastRowFirstColumn="0" w:lastRowLastColumn="0"/>
            </w:pPr>
            <w:r>
              <w:t>Risk model accuracy improved from 61% to 87%</w:t>
            </w:r>
          </w:p>
        </w:tc>
      </w:tr>
    </w:tbl>
    <w:p w14:paraId="7F5E64DC" w14:textId="77777777" w:rsidR="00430891" w:rsidRDefault="00430891" w:rsidP="00430891"/>
    <w:p w14:paraId="63504F1F" w14:textId="77777777" w:rsidR="00430891" w:rsidRDefault="00430891" w:rsidP="00430891">
      <w:pPr>
        <w:pStyle w:val="Heading2"/>
      </w:pPr>
      <w:r>
        <w:t>Regulatory Expertise</w:t>
      </w:r>
    </w:p>
    <w:p w14:paraId="1AF83F97" w14:textId="77777777" w:rsidR="00430891" w:rsidRDefault="00430891" w:rsidP="00430891">
      <w:r>
        <w:t>Meridian maintains deep expertise in healthcare regulatory frameworks including:</w:t>
      </w:r>
    </w:p>
    <w:p w14:paraId="40AC49D7" w14:textId="77777777" w:rsidR="00430891" w:rsidRDefault="00430891" w:rsidP="00430891">
      <w:pPr>
        <w:pStyle w:val="ListBullet"/>
        <w:tabs>
          <w:tab w:val="num" w:pos="360"/>
        </w:tabs>
        <w:ind w:left="360" w:hanging="360"/>
      </w:pPr>
      <w:r>
        <w:t>HIPAA Privacy and Security Rules — including breach notification, minimum necessary, and business associate agreements</w:t>
      </w:r>
    </w:p>
    <w:p w14:paraId="2C99899C" w14:textId="77777777" w:rsidR="00430891" w:rsidRDefault="00430891" w:rsidP="00430891">
      <w:pPr>
        <w:pStyle w:val="ListBullet"/>
        <w:tabs>
          <w:tab w:val="num" w:pos="360"/>
        </w:tabs>
        <w:ind w:left="360" w:hanging="360"/>
      </w:pPr>
      <w:r>
        <w:t>21st Century Cures Act — information blocking rules and patient access requirements</w:t>
      </w:r>
    </w:p>
    <w:p w14:paraId="1940EA9C" w14:textId="77777777" w:rsidR="00430891" w:rsidRDefault="00430891" w:rsidP="00430891">
      <w:pPr>
        <w:pStyle w:val="ListBullet"/>
        <w:tabs>
          <w:tab w:val="num" w:pos="360"/>
        </w:tabs>
        <w:ind w:left="360" w:hanging="360"/>
      </w:pPr>
      <w:r>
        <w:lastRenderedPageBreak/>
        <w:t>TEFCA (Trusted Exchange Framework and Common Agreement) — interoperability compliance</w:t>
      </w:r>
    </w:p>
    <w:p w14:paraId="6A751A57" w14:textId="77777777" w:rsidR="00430891" w:rsidRDefault="00430891" w:rsidP="00430891">
      <w:pPr>
        <w:pStyle w:val="ListBullet"/>
        <w:tabs>
          <w:tab w:val="num" w:pos="360"/>
        </w:tabs>
        <w:ind w:left="360" w:hanging="360"/>
      </w:pPr>
      <w:r>
        <w:t>CMS Conditions of Participation — hospital and health system requirements</w:t>
      </w:r>
    </w:p>
    <w:p w14:paraId="29807A3C" w14:textId="77777777" w:rsidR="00430891" w:rsidRDefault="00430891" w:rsidP="00430891">
      <w:pPr>
        <w:pStyle w:val="ListBullet"/>
        <w:tabs>
          <w:tab w:val="num" w:pos="360"/>
        </w:tabs>
        <w:ind w:left="360" w:hanging="360"/>
      </w:pPr>
      <w:r>
        <w:t>State-specific health information privacy laws (CCPA health data, state breach notification)</w:t>
      </w:r>
    </w:p>
    <w:p w14:paraId="40DE2896" w14:textId="77777777" w:rsidR="00430891" w:rsidRDefault="00430891" w:rsidP="00430891">
      <w:pPr>
        <w:pStyle w:val="ListBullet"/>
        <w:tabs>
          <w:tab w:val="num" w:pos="360"/>
        </w:tabs>
        <w:ind w:left="360" w:hanging="360"/>
      </w:pPr>
      <w:r>
        <w:t>FDA Software as Medical Device (SaMD) guidance — for AI/ML clinical applications</w:t>
      </w:r>
    </w:p>
    <w:p w14:paraId="3FE3D960" w14:textId="77777777" w:rsidR="00923E5B" w:rsidRDefault="00923E5B"/>
    <w:sectPr w:rsidR="00923E5B" w:rsidSect="0043089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46ED310"/>
    <w:lvl w:ilvl="0">
      <w:start w:val="1"/>
      <w:numFmt w:val="bullet"/>
      <w:pStyle w:val="ListBullet"/>
      <w:lvlText w:val=""/>
      <w:lvlJc w:val="left"/>
      <w:pPr>
        <w:tabs>
          <w:tab w:val="num" w:pos="360"/>
        </w:tabs>
        <w:ind w:left="360" w:hanging="360"/>
      </w:pPr>
      <w:rPr>
        <w:rFonts w:ascii="Symbol" w:hAnsi="Symbol" w:hint="default"/>
      </w:rPr>
    </w:lvl>
  </w:abstractNum>
  <w:num w:numId="1" w16cid:durableId="153557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891"/>
    <w:rsid w:val="002A4327"/>
    <w:rsid w:val="00430891"/>
    <w:rsid w:val="00552E0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A427AD"/>
  <w15:chartTrackingRefBased/>
  <w15:docId w15:val="{2994ECC2-B9D1-E243-A44F-EFD4CC21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891"/>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43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891"/>
    <w:rPr>
      <w:rFonts w:eastAsiaTheme="majorEastAsia" w:cstheme="majorBidi"/>
      <w:color w:val="272727" w:themeColor="text1" w:themeTint="D8"/>
    </w:rPr>
  </w:style>
  <w:style w:type="paragraph" w:styleId="Title">
    <w:name w:val="Title"/>
    <w:basedOn w:val="Normal"/>
    <w:next w:val="Normal"/>
    <w:link w:val="TitleChar"/>
    <w:uiPriority w:val="10"/>
    <w:qFormat/>
    <w:rsid w:val="0043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891"/>
    <w:pPr>
      <w:spacing w:before="160"/>
      <w:jc w:val="center"/>
    </w:pPr>
    <w:rPr>
      <w:i/>
      <w:iCs/>
      <w:color w:val="404040" w:themeColor="text1" w:themeTint="BF"/>
    </w:rPr>
  </w:style>
  <w:style w:type="character" w:customStyle="1" w:styleId="QuoteChar">
    <w:name w:val="Quote Char"/>
    <w:basedOn w:val="DefaultParagraphFont"/>
    <w:link w:val="Quote"/>
    <w:uiPriority w:val="29"/>
    <w:rsid w:val="00430891"/>
    <w:rPr>
      <w:i/>
      <w:iCs/>
      <w:color w:val="404040" w:themeColor="text1" w:themeTint="BF"/>
    </w:rPr>
  </w:style>
  <w:style w:type="paragraph" w:styleId="ListParagraph">
    <w:name w:val="List Paragraph"/>
    <w:basedOn w:val="Normal"/>
    <w:uiPriority w:val="34"/>
    <w:qFormat/>
    <w:rsid w:val="00430891"/>
    <w:pPr>
      <w:ind w:left="720"/>
      <w:contextualSpacing/>
    </w:pPr>
  </w:style>
  <w:style w:type="character" w:styleId="IntenseEmphasis">
    <w:name w:val="Intense Emphasis"/>
    <w:basedOn w:val="DefaultParagraphFont"/>
    <w:uiPriority w:val="21"/>
    <w:qFormat/>
    <w:rsid w:val="00430891"/>
    <w:rPr>
      <w:i/>
      <w:iCs/>
      <w:color w:val="0F4761" w:themeColor="accent1" w:themeShade="BF"/>
    </w:rPr>
  </w:style>
  <w:style w:type="paragraph" w:styleId="IntenseQuote">
    <w:name w:val="Intense Quote"/>
    <w:basedOn w:val="Normal"/>
    <w:next w:val="Normal"/>
    <w:link w:val="IntenseQuoteChar"/>
    <w:uiPriority w:val="30"/>
    <w:qFormat/>
    <w:rsid w:val="0043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891"/>
    <w:rPr>
      <w:i/>
      <w:iCs/>
      <w:color w:val="0F4761" w:themeColor="accent1" w:themeShade="BF"/>
    </w:rPr>
  </w:style>
  <w:style w:type="character" w:styleId="IntenseReference">
    <w:name w:val="Intense Reference"/>
    <w:basedOn w:val="DefaultParagraphFont"/>
    <w:uiPriority w:val="32"/>
    <w:qFormat/>
    <w:rsid w:val="00430891"/>
    <w:rPr>
      <w:b/>
      <w:bCs/>
      <w:smallCaps/>
      <w:color w:val="0F4761" w:themeColor="accent1" w:themeShade="BF"/>
      <w:spacing w:val="5"/>
    </w:rPr>
  </w:style>
  <w:style w:type="paragraph" w:styleId="ListBullet">
    <w:name w:val="List Bullet"/>
    <w:basedOn w:val="Normal"/>
    <w:uiPriority w:val="99"/>
    <w:unhideWhenUsed/>
    <w:rsid w:val="00430891"/>
    <w:pPr>
      <w:numPr>
        <w:numId w:val="1"/>
      </w:numPr>
      <w:tabs>
        <w:tab w:val="clear" w:pos="360"/>
      </w:tabs>
      <w:ind w:left="0" w:firstLine="0"/>
      <w:contextualSpacing/>
    </w:pPr>
  </w:style>
  <w:style w:type="table" w:styleId="LightShading-Accent1">
    <w:name w:val="Light Shading Accent 1"/>
    <w:basedOn w:val="TableNormal"/>
    <w:uiPriority w:val="60"/>
    <w:rsid w:val="00430891"/>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541</Words>
  <Characters>3617</Characters>
  <Application>Microsoft Office Word</Application>
  <DocSecurity>0</DocSecurity>
  <Lines>93</Lines>
  <Paragraphs>52</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2026-05-25T14:04:00Z</dcterms:created>
  <dcterms:modified xsi:type="dcterms:W3CDTF">2026-05-25T14:05:00Z</dcterms:modified>
</cp:coreProperties>
</file>