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D8D4E" w14:textId="17190D2F" w:rsidR="00A96B26" w:rsidRPr="00A708D8" w:rsidRDefault="00A96B26" w:rsidP="00A708D8">
      <w:pPr>
        <w:rPr>
          <w:sz w:val="24"/>
        </w:rPr>
      </w:pPr>
      <w:r w:rsidRPr="00574A6E">
        <w:rPr>
          <w:rFonts w:asciiTheme="majorHAnsi" w:hAnsiTheme="majorHAnsi"/>
          <w:color w:val="56BAA2" w:themeColor="accent5"/>
          <w:sz w:val="48"/>
          <w:szCs w:val="48"/>
        </w:rPr>
        <w:t>SOMMAIRE</w:t>
      </w:r>
    </w:p>
    <w:p w14:paraId="3982CCC4" w14:textId="77777777" w:rsidR="00A96B26" w:rsidRDefault="00A96B26">
      <w:pPr>
        <w:jc w:val="left"/>
      </w:pPr>
    </w:p>
    <w:p w14:paraId="69F65677" w14:textId="77777777" w:rsidR="00A96B26" w:rsidRDefault="00A96B26">
      <w:pPr>
        <w:jc w:val="left"/>
      </w:pPr>
    </w:p>
    <w:p w14:paraId="5D1D318D" w14:textId="35EB6959" w:rsidR="00B624D1" w:rsidRDefault="00D91D0B">
      <w:pPr>
        <w:pStyle w:val="TM1"/>
        <w:rPr>
          <w:rFonts w:eastAsiaTheme="minorEastAsia"/>
          <w:b w:val="0"/>
          <w:bCs w:val="0"/>
          <w:caps w:val="0"/>
          <w:noProof/>
          <w:sz w:val="24"/>
          <w:szCs w:val="24"/>
          <w:lang w:eastAsia="fr-FR"/>
        </w:rPr>
      </w:pPr>
      <w:r>
        <w:rPr>
          <w:b w:val="0"/>
          <w:bCs w:val="0"/>
          <w:caps w:val="0"/>
        </w:rPr>
        <w:fldChar w:fldCharType="begin"/>
      </w:r>
      <w:r>
        <w:instrText xml:space="preserve"> TOC \o "1-2" \h \z \u </w:instrText>
      </w:r>
      <w:r>
        <w:rPr>
          <w:b w:val="0"/>
          <w:bCs w:val="0"/>
          <w:caps w:val="0"/>
        </w:rPr>
        <w:fldChar w:fldCharType="separate"/>
      </w:r>
      <w:hyperlink w:anchor="_Toc212732423" w:history="1">
        <w:r w:rsidR="00B624D1" w:rsidRPr="00021B3C">
          <w:rPr>
            <w:rStyle w:val="Lienhypertexte"/>
            <w:noProof/>
          </w:rPr>
          <w:t>1</w:t>
        </w:r>
        <w:r w:rsidR="00B624D1">
          <w:rPr>
            <w:rFonts w:eastAsiaTheme="minorEastAsia"/>
            <w:b w:val="0"/>
            <w:bCs w:val="0"/>
            <w:caps w:val="0"/>
            <w:noProof/>
            <w:sz w:val="24"/>
            <w:szCs w:val="24"/>
            <w:lang w:eastAsia="fr-FR"/>
          </w:rPr>
          <w:tab/>
        </w:r>
        <w:r w:rsidR="00B624D1" w:rsidRPr="00021B3C">
          <w:rPr>
            <w:rStyle w:val="Lienhypertexte"/>
            <w:noProof/>
          </w:rPr>
          <w:t>Contexte</w:t>
        </w:r>
        <w:r w:rsidR="00B624D1">
          <w:rPr>
            <w:noProof/>
            <w:webHidden/>
          </w:rPr>
          <w:tab/>
        </w:r>
        <w:r w:rsidR="00B624D1">
          <w:rPr>
            <w:noProof/>
            <w:webHidden/>
          </w:rPr>
          <w:fldChar w:fldCharType="begin"/>
        </w:r>
        <w:r w:rsidR="00B624D1">
          <w:rPr>
            <w:noProof/>
            <w:webHidden/>
          </w:rPr>
          <w:instrText xml:space="preserve"> PAGEREF _Toc212732423 \h </w:instrText>
        </w:r>
        <w:r w:rsidR="00B624D1">
          <w:rPr>
            <w:noProof/>
            <w:webHidden/>
          </w:rPr>
        </w:r>
        <w:r w:rsidR="00B624D1">
          <w:rPr>
            <w:noProof/>
            <w:webHidden/>
          </w:rPr>
          <w:fldChar w:fldCharType="separate"/>
        </w:r>
        <w:r w:rsidR="00B624D1">
          <w:rPr>
            <w:noProof/>
            <w:webHidden/>
          </w:rPr>
          <w:t>2</w:t>
        </w:r>
        <w:r w:rsidR="00B624D1">
          <w:rPr>
            <w:noProof/>
            <w:webHidden/>
          </w:rPr>
          <w:fldChar w:fldCharType="end"/>
        </w:r>
      </w:hyperlink>
    </w:p>
    <w:p w14:paraId="4402C97D" w14:textId="4C1C0848" w:rsidR="00B624D1" w:rsidRDefault="00B624D1">
      <w:pPr>
        <w:pStyle w:val="TM1"/>
        <w:rPr>
          <w:rFonts w:eastAsiaTheme="minorEastAsia"/>
          <w:b w:val="0"/>
          <w:bCs w:val="0"/>
          <w:caps w:val="0"/>
          <w:noProof/>
          <w:sz w:val="24"/>
          <w:szCs w:val="24"/>
          <w:lang w:eastAsia="fr-FR"/>
        </w:rPr>
      </w:pPr>
      <w:hyperlink w:anchor="_Toc212732424" w:history="1">
        <w:r w:rsidRPr="00021B3C">
          <w:rPr>
            <w:rStyle w:val="Lienhypertexte"/>
            <w:noProof/>
          </w:rPr>
          <w:t>2</w:t>
        </w:r>
        <w:r>
          <w:rPr>
            <w:rFonts w:eastAsiaTheme="minorEastAsia"/>
            <w:b w:val="0"/>
            <w:bCs w:val="0"/>
            <w:caps w:val="0"/>
            <w:noProof/>
            <w:sz w:val="24"/>
            <w:szCs w:val="24"/>
            <w:lang w:eastAsia="fr-FR"/>
          </w:rPr>
          <w:tab/>
        </w:r>
        <w:r w:rsidRPr="00021B3C">
          <w:rPr>
            <w:rStyle w:val="Lienhypertexte"/>
            <w:noProof/>
          </w:rPr>
          <w:t>Déroulement de la procédure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_Toc212732424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9F89408" w14:textId="60950AEE" w:rsidR="00B624D1" w:rsidRDefault="00B624D1">
      <w:pPr>
        <w:pStyle w:val="TM1"/>
        <w:rPr>
          <w:rFonts w:eastAsiaTheme="minorEastAsia"/>
          <w:b w:val="0"/>
          <w:bCs w:val="0"/>
          <w:caps w:val="0"/>
          <w:noProof/>
          <w:sz w:val="24"/>
          <w:szCs w:val="24"/>
          <w:lang w:eastAsia="fr-FR"/>
        </w:rPr>
      </w:pPr>
      <w:hyperlink w:anchor="_Toc212732425" w:history="1">
        <w:r w:rsidRPr="00021B3C">
          <w:rPr>
            <w:rStyle w:val="Lienhypertexte"/>
            <w:noProof/>
          </w:rPr>
          <w:t>3</w:t>
        </w:r>
        <w:r>
          <w:rPr>
            <w:rFonts w:eastAsiaTheme="minorEastAsia"/>
            <w:b w:val="0"/>
            <w:bCs w:val="0"/>
            <w:caps w:val="0"/>
            <w:noProof/>
            <w:sz w:val="24"/>
            <w:szCs w:val="24"/>
            <w:lang w:eastAsia="fr-FR"/>
          </w:rPr>
          <w:tab/>
        </w:r>
        <w:r w:rsidRPr="00021B3C">
          <w:rPr>
            <w:rStyle w:val="Lienhypertexte"/>
            <w:noProof/>
          </w:rPr>
          <w:t>Dossier de consultation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_Toc212732425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053C5A9" w14:textId="02B169E8" w:rsidR="00B624D1" w:rsidRDefault="00B624D1">
      <w:pPr>
        <w:pStyle w:val="TM1"/>
        <w:rPr>
          <w:rFonts w:eastAsiaTheme="minorEastAsia"/>
          <w:b w:val="0"/>
          <w:bCs w:val="0"/>
          <w:caps w:val="0"/>
          <w:noProof/>
          <w:sz w:val="24"/>
          <w:szCs w:val="24"/>
          <w:lang w:eastAsia="fr-FR"/>
        </w:rPr>
      </w:pPr>
      <w:hyperlink w:anchor="_Toc212732426" w:history="1">
        <w:r w:rsidRPr="00021B3C">
          <w:rPr>
            <w:rStyle w:val="Lienhypertexte"/>
            <w:noProof/>
          </w:rPr>
          <w:t>4</w:t>
        </w:r>
        <w:r>
          <w:rPr>
            <w:rFonts w:eastAsiaTheme="minorEastAsia"/>
            <w:b w:val="0"/>
            <w:bCs w:val="0"/>
            <w:caps w:val="0"/>
            <w:noProof/>
            <w:sz w:val="24"/>
            <w:szCs w:val="24"/>
            <w:lang w:eastAsia="fr-FR"/>
          </w:rPr>
          <w:tab/>
        </w:r>
        <w:r w:rsidRPr="00021B3C">
          <w:rPr>
            <w:rStyle w:val="Lienhypertexte"/>
            <w:noProof/>
          </w:rPr>
          <w:t>Questions - Réponses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_Toc212732426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8D29432" w14:textId="770D82B3" w:rsidR="00B624D1" w:rsidRDefault="00B624D1">
      <w:pPr>
        <w:pStyle w:val="TM1"/>
        <w:rPr>
          <w:rFonts w:eastAsiaTheme="minorEastAsia"/>
          <w:b w:val="0"/>
          <w:bCs w:val="0"/>
          <w:caps w:val="0"/>
          <w:noProof/>
          <w:sz w:val="24"/>
          <w:szCs w:val="24"/>
          <w:lang w:eastAsia="fr-FR"/>
        </w:rPr>
      </w:pPr>
      <w:hyperlink w:anchor="_Toc212732427" w:history="1">
        <w:r w:rsidRPr="00021B3C">
          <w:rPr>
            <w:rStyle w:val="Lienhypertexte"/>
            <w:noProof/>
          </w:rPr>
          <w:t>5</w:t>
        </w:r>
        <w:r>
          <w:rPr>
            <w:rFonts w:eastAsiaTheme="minorEastAsia"/>
            <w:b w:val="0"/>
            <w:bCs w:val="0"/>
            <w:caps w:val="0"/>
            <w:noProof/>
            <w:sz w:val="24"/>
            <w:szCs w:val="24"/>
            <w:lang w:eastAsia="fr-FR"/>
          </w:rPr>
          <w:tab/>
        </w:r>
        <w:r w:rsidRPr="00021B3C">
          <w:rPr>
            <w:rStyle w:val="Lienhypertexte"/>
            <w:noProof/>
          </w:rPr>
          <w:t>Analyse des candidatures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_Toc212732427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8C3E05" w14:textId="4F1BC8B8" w:rsidR="00B624D1" w:rsidRDefault="00B624D1">
      <w:pPr>
        <w:pStyle w:val="TM1"/>
        <w:rPr>
          <w:rFonts w:eastAsiaTheme="minorEastAsia"/>
          <w:b w:val="0"/>
          <w:bCs w:val="0"/>
          <w:caps w:val="0"/>
          <w:noProof/>
          <w:sz w:val="24"/>
          <w:szCs w:val="24"/>
          <w:lang w:eastAsia="fr-FR"/>
        </w:rPr>
      </w:pPr>
      <w:hyperlink w:anchor="_Toc212732428" w:history="1">
        <w:r w:rsidRPr="00021B3C">
          <w:rPr>
            <w:rStyle w:val="Lienhypertexte"/>
            <w:noProof/>
          </w:rPr>
          <w:t>6</w:t>
        </w:r>
        <w:r>
          <w:rPr>
            <w:rFonts w:eastAsiaTheme="minorEastAsia"/>
            <w:b w:val="0"/>
            <w:bCs w:val="0"/>
            <w:caps w:val="0"/>
            <w:noProof/>
            <w:sz w:val="24"/>
            <w:szCs w:val="24"/>
            <w:lang w:eastAsia="fr-FR"/>
          </w:rPr>
          <w:tab/>
        </w:r>
        <w:r w:rsidRPr="00021B3C">
          <w:rPr>
            <w:rStyle w:val="Lienhypertexte"/>
            <w:noProof/>
          </w:rPr>
          <w:t>Méthodologie d’analyse des offres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_Toc212732428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342966" w14:textId="5161A338" w:rsidR="00B624D1" w:rsidRDefault="00B624D1">
      <w:pPr>
        <w:pStyle w:val="TM1"/>
        <w:rPr>
          <w:rFonts w:eastAsiaTheme="minorEastAsia"/>
          <w:b w:val="0"/>
          <w:bCs w:val="0"/>
          <w:caps w:val="0"/>
          <w:noProof/>
          <w:sz w:val="24"/>
          <w:szCs w:val="24"/>
          <w:lang w:eastAsia="fr-FR"/>
        </w:rPr>
      </w:pPr>
      <w:hyperlink w:anchor="_Toc212732429" w:history="1">
        <w:r w:rsidRPr="00021B3C">
          <w:rPr>
            <w:rStyle w:val="Lienhypertexte"/>
            <w:noProof/>
          </w:rPr>
          <w:t>7</w:t>
        </w:r>
        <w:r>
          <w:rPr>
            <w:rFonts w:eastAsiaTheme="minorEastAsia"/>
            <w:b w:val="0"/>
            <w:bCs w:val="0"/>
            <w:caps w:val="0"/>
            <w:noProof/>
            <w:sz w:val="24"/>
            <w:szCs w:val="24"/>
            <w:lang w:eastAsia="fr-FR"/>
          </w:rPr>
          <w:tab/>
        </w:r>
        <w:r w:rsidRPr="00021B3C">
          <w:rPr>
            <w:rStyle w:val="Lienhypertexte"/>
            <w:noProof/>
          </w:rPr>
          <w:t>Analyse de la valeur des offres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_Toc212732429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24F0E4" w14:textId="30FF5DBF" w:rsidR="00B624D1" w:rsidRDefault="00B624D1">
      <w:pPr>
        <w:pStyle w:val="TM1"/>
        <w:rPr>
          <w:rFonts w:eastAsiaTheme="minorEastAsia"/>
          <w:b w:val="0"/>
          <w:bCs w:val="0"/>
          <w:caps w:val="0"/>
          <w:noProof/>
          <w:sz w:val="24"/>
          <w:szCs w:val="24"/>
          <w:lang w:eastAsia="fr-FR"/>
        </w:rPr>
      </w:pPr>
      <w:hyperlink w:anchor="_Toc212732430" w:history="1">
        <w:r w:rsidRPr="00021B3C">
          <w:rPr>
            <w:rStyle w:val="Lienhypertexte"/>
            <w:noProof/>
          </w:rPr>
          <w:t>8</w:t>
        </w:r>
        <w:r>
          <w:rPr>
            <w:rFonts w:eastAsiaTheme="minorEastAsia"/>
            <w:b w:val="0"/>
            <w:bCs w:val="0"/>
            <w:caps w:val="0"/>
            <w:noProof/>
            <w:sz w:val="24"/>
            <w:szCs w:val="24"/>
            <w:lang w:eastAsia="fr-FR"/>
          </w:rPr>
          <w:tab/>
        </w:r>
        <w:r w:rsidRPr="00021B3C">
          <w:rPr>
            <w:rStyle w:val="Lienhypertexte"/>
            <w:noProof/>
          </w:rPr>
          <w:t>Analyse de la performance du dossier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_Toc212732430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3A3590" w14:textId="04343D86" w:rsidR="00B624D1" w:rsidRDefault="00B624D1">
      <w:pPr>
        <w:pStyle w:val="TM1"/>
        <w:rPr>
          <w:rFonts w:eastAsiaTheme="minorEastAsia"/>
          <w:b w:val="0"/>
          <w:bCs w:val="0"/>
          <w:caps w:val="0"/>
          <w:noProof/>
          <w:sz w:val="24"/>
          <w:szCs w:val="24"/>
          <w:lang w:eastAsia="fr-FR"/>
        </w:rPr>
      </w:pPr>
      <w:hyperlink w:anchor="_Toc212732431" w:history="1">
        <w:r w:rsidRPr="00021B3C">
          <w:rPr>
            <w:rStyle w:val="Lienhypertexte"/>
            <w:noProof/>
          </w:rPr>
          <w:t>9</w:t>
        </w:r>
        <w:r>
          <w:rPr>
            <w:rFonts w:eastAsiaTheme="minorEastAsia"/>
            <w:b w:val="0"/>
            <w:bCs w:val="0"/>
            <w:caps w:val="0"/>
            <w:noProof/>
            <w:sz w:val="24"/>
            <w:szCs w:val="24"/>
            <w:lang w:eastAsia="fr-FR"/>
          </w:rPr>
          <w:tab/>
        </w:r>
        <w:r w:rsidRPr="00021B3C">
          <w:rPr>
            <w:rStyle w:val="Lienhypertexte"/>
            <w:noProof/>
          </w:rPr>
          <w:t>Proposition d’attribution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_Toc212732431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25D43D" w14:textId="329BF584" w:rsidR="00B624D1" w:rsidRDefault="00B624D1">
      <w:pPr>
        <w:pStyle w:val="TM1"/>
        <w:rPr>
          <w:rFonts w:eastAsiaTheme="minorEastAsia"/>
          <w:b w:val="0"/>
          <w:bCs w:val="0"/>
          <w:caps w:val="0"/>
          <w:noProof/>
          <w:sz w:val="24"/>
          <w:szCs w:val="24"/>
          <w:lang w:eastAsia="fr-FR"/>
        </w:rPr>
      </w:pPr>
      <w:hyperlink w:anchor="_Toc212732432" w:history="1">
        <w:r w:rsidRPr="00021B3C">
          <w:rPr>
            <w:rStyle w:val="Lienhypertexte"/>
            <w:noProof/>
          </w:rPr>
          <w:t>10</w:t>
        </w:r>
        <w:r>
          <w:rPr>
            <w:rFonts w:eastAsiaTheme="minorEastAsia"/>
            <w:b w:val="0"/>
            <w:bCs w:val="0"/>
            <w:caps w:val="0"/>
            <w:noProof/>
            <w:sz w:val="24"/>
            <w:szCs w:val="24"/>
            <w:lang w:eastAsia="fr-FR"/>
          </w:rPr>
          <w:tab/>
        </w:r>
        <w:r w:rsidRPr="00021B3C">
          <w:rPr>
            <w:rStyle w:val="Lienhypertexte"/>
            <w:noProof/>
          </w:rPr>
          <w:t>Proposition de calendrier de mise en oeuvre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_Toc212732432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1041B7" w14:textId="264C1CFA" w:rsidR="00D64E20" w:rsidRDefault="00D91D0B" w:rsidP="00F91006">
      <w:pPr>
        <w:jc w:val="left"/>
      </w:pPr>
      <w:r>
        <w:rPr>
          <w:b/>
          <w:bCs/>
          <w:caps/>
          <w:szCs w:val="22"/>
        </w:rPr>
        <w:fldChar w:fldCharType="end"/>
      </w:r>
    </w:p>
    <w:p w14:paraId="0CB60065" w14:textId="77777777" w:rsidR="00D64E20" w:rsidRDefault="00D64E20">
      <w:pPr>
        <w:jc w:val="left"/>
      </w:pPr>
      <w:r>
        <w:br w:type="page"/>
      </w:r>
    </w:p>
    <w:p w14:paraId="3D39E048" w14:textId="5ADCB5EA" w:rsidR="00387915" w:rsidRDefault="00C042EC" w:rsidP="00D15887">
      <w:pPr>
        <w:pStyle w:val="Titre1"/>
        <w:rPr>
          <w:noProof/>
        </w:rPr>
      </w:pPr>
      <w:bookmarkStart w:id="0" w:name="_Toc212732423"/>
      <w:r>
        <w:rPr>
          <w:noProof/>
        </w:rPr>
        <w:lastRenderedPageBreak/>
        <w:t>Contexte</w:t>
      </w:r>
      <w:bookmarkEnd w:id="0"/>
    </w:p>
    <w:p w14:paraId="493F0BD0" w14:textId="71F81AE2" w:rsidR="00B41FE3" w:rsidRDefault="00B41FE3" w:rsidP="00B41FE3">
      <w:pPr>
        <w:pStyle w:val="Default"/>
        <w:spacing w:before="160" w:after="16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Le présent marché a pour objet le renouvellement des prestations de Tierce Maintenance Applicative (TMA) de l’EPM Oracle, le système d’information de gestion de la performance financière et RH</w:t>
      </w:r>
      <w:r w:rsidR="00D0302E">
        <w:rPr>
          <w:sz w:val="22"/>
          <w:szCs w:val="22"/>
        </w:rPr>
        <w:t>, pour une durée totale de 48 mois</w:t>
      </w:r>
      <w:r>
        <w:rPr>
          <w:sz w:val="22"/>
          <w:szCs w:val="22"/>
        </w:rPr>
        <w:t xml:space="preserve">. Les prestations suivantes sont incluses dans le périmètre : </w:t>
      </w:r>
    </w:p>
    <w:p w14:paraId="12B5011C" w14:textId="77777777" w:rsidR="00B41FE3" w:rsidRDefault="00B41FE3" w:rsidP="00B41FE3">
      <w:pPr>
        <w:pStyle w:val="PuceCamembert"/>
        <w:spacing w:before="160" w:line="276" w:lineRule="auto"/>
      </w:pPr>
      <w:r>
        <w:t xml:space="preserve">La maintenance corrective </w:t>
      </w:r>
    </w:p>
    <w:p w14:paraId="44F83AC8" w14:textId="77777777" w:rsidR="00B41FE3" w:rsidRDefault="00B41FE3" w:rsidP="00B41FE3">
      <w:pPr>
        <w:pStyle w:val="PuceCamembert"/>
        <w:spacing w:before="160" w:line="276" w:lineRule="auto"/>
      </w:pPr>
      <w:r>
        <w:t xml:space="preserve">La maintenance adaptative </w:t>
      </w:r>
    </w:p>
    <w:p w14:paraId="01F3D98F" w14:textId="77777777" w:rsidR="00B41FE3" w:rsidRDefault="00B41FE3" w:rsidP="00B41FE3">
      <w:pPr>
        <w:pStyle w:val="PuceCamembert"/>
        <w:spacing w:before="160" w:line="276" w:lineRule="auto"/>
      </w:pPr>
      <w:r>
        <w:t xml:space="preserve">La maintenance évolutive </w:t>
      </w:r>
    </w:p>
    <w:p w14:paraId="02EE00B2" w14:textId="77777777" w:rsidR="00B41FE3" w:rsidRDefault="00B41FE3" w:rsidP="00B41FE3">
      <w:pPr>
        <w:pStyle w:val="PuceCamembert"/>
        <w:spacing w:before="160" w:line="276" w:lineRule="auto"/>
      </w:pPr>
      <w:r>
        <w:t xml:space="preserve">Les développements spécifiques </w:t>
      </w:r>
    </w:p>
    <w:p w14:paraId="7F9D538D" w14:textId="77777777" w:rsidR="00B41FE3" w:rsidRDefault="00B41FE3" w:rsidP="00B41FE3">
      <w:pPr>
        <w:pStyle w:val="PuceCamembert"/>
        <w:spacing w:before="160" w:line="276" w:lineRule="auto"/>
      </w:pPr>
      <w:r>
        <w:t xml:space="preserve">La maintenance des flux entrants et sortants (avec l’ERP Oracle mais aussi vers d’autres systèmes hétérogènes) </w:t>
      </w:r>
    </w:p>
    <w:p w14:paraId="070746E8" w14:textId="4BCF0651" w:rsidR="00D15887" w:rsidRPr="00D15887" w:rsidRDefault="00C042EC" w:rsidP="00D15887">
      <w:pPr>
        <w:pStyle w:val="Titre1"/>
        <w:rPr>
          <w:noProof/>
        </w:rPr>
      </w:pPr>
      <w:bookmarkStart w:id="1" w:name="_Toc212732424"/>
      <w:r>
        <w:rPr>
          <w:noProof/>
        </w:rPr>
        <w:t>Déroulement de la procédure</w:t>
      </w:r>
      <w:bookmarkEnd w:id="1"/>
    </w:p>
    <w:p w14:paraId="7519CC59" w14:textId="079EF154" w:rsidR="00C042EC" w:rsidRPr="006E53CB" w:rsidRDefault="00C042EC" w:rsidP="007C3F04">
      <w:pPr>
        <w:spacing w:after="0"/>
      </w:pPr>
      <w:r>
        <w:t xml:space="preserve">La procédure, menée </w:t>
      </w:r>
      <w:r w:rsidRPr="006E53CB">
        <w:t>conjointement avec la Direction de</w:t>
      </w:r>
      <w:r w:rsidR="00B41FE3" w:rsidRPr="006E53CB">
        <w:t xml:space="preserve">s Systèmes d’Information </w:t>
      </w:r>
      <w:r w:rsidRPr="006E53CB">
        <w:t>de l’Afpa, a été lancée sur la plateforme « e-marchespublics.com » selon le calendrier suivant :</w:t>
      </w:r>
    </w:p>
    <w:p w14:paraId="0C23113A" w14:textId="0D308007" w:rsidR="00C042EC" w:rsidRPr="006E53CB" w:rsidRDefault="00C042EC" w:rsidP="007C3F04">
      <w:pPr>
        <w:pStyle w:val="PuceCamembert"/>
        <w:spacing w:after="0"/>
      </w:pPr>
      <w:r w:rsidRPr="006E53CB">
        <w:t xml:space="preserve">Date de publication : le </w:t>
      </w:r>
      <w:r w:rsidR="00B41FE3" w:rsidRPr="006E53CB">
        <w:t>8 Juillet 2025</w:t>
      </w:r>
    </w:p>
    <w:p w14:paraId="3858A6FA" w14:textId="6360537D" w:rsidR="00C042EC" w:rsidRPr="006E53CB" w:rsidRDefault="00C042EC" w:rsidP="007C3F04">
      <w:pPr>
        <w:pStyle w:val="PuceD"/>
        <w:spacing w:after="0"/>
      </w:pPr>
      <w:r w:rsidRPr="006E53CB">
        <w:t xml:space="preserve">Nombre de dossiers retirés : </w:t>
      </w:r>
      <w:r w:rsidR="00376572" w:rsidRPr="006E53CB">
        <w:t>25</w:t>
      </w:r>
      <w:r w:rsidRPr="006E53CB">
        <w:t xml:space="preserve"> retraits (</w:t>
      </w:r>
      <w:r w:rsidR="00BF63E0">
        <w:t>l</w:t>
      </w:r>
      <w:r w:rsidRPr="006E53CB">
        <w:t>iste détaillée en annexe)</w:t>
      </w:r>
    </w:p>
    <w:p w14:paraId="3C0A948B" w14:textId="4D9A085A" w:rsidR="00C042EC" w:rsidRPr="006E53CB" w:rsidRDefault="00C042EC" w:rsidP="007C3F04">
      <w:pPr>
        <w:pStyle w:val="PuceCamembert"/>
        <w:spacing w:after="0"/>
      </w:pPr>
      <w:r w:rsidRPr="006E53CB">
        <w:t xml:space="preserve">Date de réception des offres : le </w:t>
      </w:r>
      <w:r w:rsidR="00376572" w:rsidRPr="006E53CB">
        <w:t>24 Septembre 2025</w:t>
      </w:r>
      <w:r w:rsidRPr="006E53CB">
        <w:t xml:space="preserve"> à </w:t>
      </w:r>
      <w:r w:rsidR="00376572" w:rsidRPr="006E53CB">
        <w:t>12</w:t>
      </w:r>
      <w:r w:rsidRPr="006E53CB">
        <w:t xml:space="preserve"> h</w:t>
      </w:r>
    </w:p>
    <w:p w14:paraId="7CF17C86" w14:textId="3950357F" w:rsidR="00C042EC" w:rsidRPr="006E53CB" w:rsidRDefault="00C042EC" w:rsidP="007C3F04">
      <w:pPr>
        <w:pStyle w:val="PuceD"/>
        <w:spacing w:after="0"/>
      </w:pPr>
      <w:r w:rsidRPr="006E53CB">
        <w:t>Nombre de plis reçus</w:t>
      </w:r>
      <w:r w:rsidR="00066376" w:rsidRPr="006E53CB">
        <w:t> :</w:t>
      </w:r>
      <w:r w:rsidRPr="006E53CB">
        <w:t xml:space="preserve"> </w:t>
      </w:r>
      <w:r w:rsidR="00376572" w:rsidRPr="006E53CB">
        <w:t>3</w:t>
      </w:r>
      <w:r w:rsidRPr="006E53CB">
        <w:t xml:space="preserve">, dont </w:t>
      </w:r>
      <w:r w:rsidR="00376572" w:rsidRPr="006E53CB">
        <w:t>0</w:t>
      </w:r>
      <w:r w:rsidRPr="006E53CB">
        <w:t xml:space="preserve"> hors délai (</w:t>
      </w:r>
      <w:r w:rsidR="00BF63E0">
        <w:t>l</w:t>
      </w:r>
      <w:r w:rsidRPr="006E53CB">
        <w:t>iste détaillée en annexe)</w:t>
      </w:r>
    </w:p>
    <w:p w14:paraId="7FB2E395" w14:textId="34CA694E" w:rsidR="00C042EC" w:rsidRPr="006E53CB" w:rsidRDefault="00C042EC" w:rsidP="007C3F04">
      <w:pPr>
        <w:pStyle w:val="PuceCamembert"/>
        <w:spacing w:after="0"/>
      </w:pPr>
      <w:r w:rsidRPr="006E53CB">
        <w:t xml:space="preserve">Date d’ouverture des plis : le </w:t>
      </w:r>
      <w:r w:rsidR="00376572" w:rsidRPr="006E53CB">
        <w:t>24 Septembre 2025 à 14 h</w:t>
      </w:r>
    </w:p>
    <w:p w14:paraId="1F2912D9" w14:textId="2EBB47F0" w:rsidR="00D15887" w:rsidRDefault="00C042EC" w:rsidP="00D15887">
      <w:pPr>
        <w:pStyle w:val="Titre1"/>
      </w:pPr>
      <w:bookmarkStart w:id="2" w:name="_Toc212732425"/>
      <w:r>
        <w:t>Dossier de consultation</w:t>
      </w:r>
      <w:bookmarkEnd w:id="2"/>
    </w:p>
    <w:p w14:paraId="6543103A" w14:textId="77777777" w:rsidR="00C042EC" w:rsidRDefault="00C042EC" w:rsidP="00707B62">
      <w:pPr>
        <w:spacing w:before="160"/>
      </w:pPr>
      <w:r>
        <w:t>Le dossier de consultation comprenait :</w:t>
      </w:r>
    </w:p>
    <w:p w14:paraId="58D26DB7" w14:textId="0FD11AE3" w:rsidR="00C042EC" w:rsidRPr="00576C42" w:rsidRDefault="00C042EC" w:rsidP="00707B62">
      <w:pPr>
        <w:pStyle w:val="PuceCamembert"/>
        <w:spacing w:before="160"/>
      </w:pPr>
      <w:r w:rsidRPr="00576C42">
        <w:t xml:space="preserve">Le </w:t>
      </w:r>
      <w:r w:rsidR="008E78A4" w:rsidRPr="00576C42">
        <w:t>R</w:t>
      </w:r>
      <w:r w:rsidRPr="00576C42">
        <w:t xml:space="preserve">èglement de la </w:t>
      </w:r>
      <w:r w:rsidR="008E78A4" w:rsidRPr="00576C42">
        <w:t>C</w:t>
      </w:r>
      <w:r w:rsidRPr="00576C42">
        <w:t>onsultation (RC)</w:t>
      </w:r>
    </w:p>
    <w:p w14:paraId="1BC7EDDC" w14:textId="59F28E96" w:rsidR="00C042EC" w:rsidRPr="00576C42" w:rsidRDefault="00C042EC" w:rsidP="00707B62">
      <w:pPr>
        <w:pStyle w:val="PuceCamembert"/>
        <w:spacing w:before="160"/>
      </w:pPr>
      <w:r w:rsidRPr="00576C42">
        <w:t>L’</w:t>
      </w:r>
      <w:r w:rsidR="008E78A4" w:rsidRPr="00576C42">
        <w:t>A</w:t>
      </w:r>
      <w:r w:rsidRPr="00576C42">
        <w:t>cte d'</w:t>
      </w:r>
      <w:r w:rsidR="008E78A4" w:rsidRPr="00576C42">
        <w:t>E</w:t>
      </w:r>
      <w:r w:rsidRPr="00576C42">
        <w:t>ngagement (AE)</w:t>
      </w:r>
    </w:p>
    <w:p w14:paraId="5FFCC55F" w14:textId="20B794C9" w:rsidR="00C042EC" w:rsidRPr="00576C42" w:rsidRDefault="00C042EC" w:rsidP="00707B62">
      <w:pPr>
        <w:pStyle w:val="PuceCamembert"/>
        <w:spacing w:before="160"/>
      </w:pPr>
      <w:r w:rsidRPr="00576C42">
        <w:t xml:space="preserve">Le </w:t>
      </w:r>
      <w:r w:rsidR="008E78A4" w:rsidRPr="00576C42">
        <w:t>C</w:t>
      </w:r>
      <w:r w:rsidRPr="00576C42">
        <w:t xml:space="preserve">ahier des </w:t>
      </w:r>
      <w:r w:rsidR="008E78A4" w:rsidRPr="00576C42">
        <w:t>Cl</w:t>
      </w:r>
      <w:r w:rsidRPr="00576C42">
        <w:t xml:space="preserve">auses </w:t>
      </w:r>
      <w:r w:rsidR="008E78A4" w:rsidRPr="00576C42">
        <w:t>A</w:t>
      </w:r>
      <w:r w:rsidRPr="00576C42">
        <w:t>dministratives</w:t>
      </w:r>
      <w:r w:rsidR="008E78A4" w:rsidRPr="00576C42">
        <w:t xml:space="preserve"> Particulières</w:t>
      </w:r>
      <w:r w:rsidRPr="00576C42">
        <w:t xml:space="preserve"> (CCAP) et ses annexes</w:t>
      </w:r>
    </w:p>
    <w:p w14:paraId="7F2CAD0B" w14:textId="490C5346" w:rsidR="00C042EC" w:rsidRPr="00576C42" w:rsidRDefault="00C042EC" w:rsidP="00707B62">
      <w:pPr>
        <w:pStyle w:val="PuceCamembert"/>
        <w:spacing w:before="160"/>
      </w:pPr>
      <w:r w:rsidRPr="00576C42">
        <w:t xml:space="preserve">Le </w:t>
      </w:r>
      <w:r w:rsidR="008E78A4" w:rsidRPr="00576C42">
        <w:t>C</w:t>
      </w:r>
      <w:r w:rsidRPr="00576C42">
        <w:t xml:space="preserve">ahier des </w:t>
      </w:r>
      <w:r w:rsidR="008E78A4" w:rsidRPr="00576C42">
        <w:t>C</w:t>
      </w:r>
      <w:r w:rsidRPr="00576C42">
        <w:t xml:space="preserve">lauses </w:t>
      </w:r>
      <w:r w:rsidR="008E78A4" w:rsidRPr="00576C42">
        <w:t>T</w:t>
      </w:r>
      <w:r w:rsidRPr="00576C42">
        <w:t xml:space="preserve">echniques </w:t>
      </w:r>
      <w:r w:rsidR="008E78A4" w:rsidRPr="00576C42">
        <w:t>P</w:t>
      </w:r>
      <w:r w:rsidRPr="00576C42">
        <w:t>articulières (CCTP) et ses annexes</w:t>
      </w:r>
    </w:p>
    <w:p w14:paraId="6FF76F89" w14:textId="612CF478" w:rsidR="00C042EC" w:rsidRPr="00576C42" w:rsidRDefault="00C042EC" w:rsidP="00707B62">
      <w:pPr>
        <w:pStyle w:val="PuceCamembert"/>
        <w:spacing w:before="160"/>
      </w:pPr>
      <w:r w:rsidRPr="00576C42">
        <w:t>Le Bordereau des Prix Unitaires (BPU)</w:t>
      </w:r>
    </w:p>
    <w:p w14:paraId="027ED462" w14:textId="109031F4" w:rsidR="00C042EC" w:rsidRPr="00576C42" w:rsidRDefault="00C042EC" w:rsidP="00707B62">
      <w:pPr>
        <w:pStyle w:val="PuceCamembert"/>
        <w:spacing w:before="160"/>
      </w:pPr>
      <w:r w:rsidRPr="00576C42">
        <w:t>Le Détail Quantitatif Estimatif (DQE)</w:t>
      </w:r>
    </w:p>
    <w:p w14:paraId="5D323548" w14:textId="3BF9B029" w:rsidR="00564899" w:rsidRDefault="00C042EC" w:rsidP="00707B62">
      <w:pPr>
        <w:pStyle w:val="PuceCamembert"/>
        <w:spacing w:before="160"/>
      </w:pPr>
      <w:r w:rsidRPr="00576C42">
        <w:t>Le C</w:t>
      </w:r>
      <w:r w:rsidR="00707B62">
        <w:t>a</w:t>
      </w:r>
      <w:r w:rsidRPr="00576C42">
        <w:t>dre de Ré</w:t>
      </w:r>
      <w:r w:rsidR="00D0302E">
        <w:t>p</w:t>
      </w:r>
      <w:r w:rsidRPr="00576C42">
        <w:t>ons</w:t>
      </w:r>
      <w:r w:rsidR="00AD5EC3">
        <w:t>e</w:t>
      </w:r>
      <w:r w:rsidRPr="00576C42">
        <w:t xml:space="preserve"> Techniq</w:t>
      </w:r>
      <w:r w:rsidR="007C3F04">
        <w:t>u</w:t>
      </w:r>
      <w:r w:rsidRPr="00576C42">
        <w:t>e (CRT)</w:t>
      </w:r>
      <w:r w:rsidR="00576C42">
        <w:t xml:space="preserve"> et ses annexes</w:t>
      </w:r>
    </w:p>
    <w:p w14:paraId="680E188C" w14:textId="1477C1EB" w:rsidR="00D15887" w:rsidRDefault="00C042EC" w:rsidP="007C3F04">
      <w:pPr>
        <w:pStyle w:val="Titre1"/>
      </w:pPr>
      <w:bookmarkStart w:id="3" w:name="_Toc212732426"/>
      <w:r>
        <w:t>Questions - Rép</w:t>
      </w:r>
      <w:r w:rsidR="007C3F04">
        <w:t>o</w:t>
      </w:r>
      <w:r>
        <w:t>nses</w:t>
      </w:r>
      <w:bookmarkEnd w:id="3"/>
    </w:p>
    <w:p w14:paraId="4452ED21" w14:textId="4FEFB6E1" w:rsidR="00C042EC" w:rsidRPr="003D2199" w:rsidRDefault="00C042EC" w:rsidP="00C562D4">
      <w:pPr>
        <w:spacing w:after="360"/>
      </w:pPr>
      <w:r w:rsidRPr="003D2199">
        <w:t>Au cours de la procédure, les candidats ont posé des questions. Les réponses ont été déposées sur la plateforme à l’attention de l’ensemble des candidats (questions/réponses en annexe du présent Rapport de Présentation).</w:t>
      </w:r>
    </w:p>
    <w:p w14:paraId="3956489C" w14:textId="256C3C0E" w:rsidR="00D15887" w:rsidRDefault="00C042EC" w:rsidP="00003C11">
      <w:pPr>
        <w:pStyle w:val="Titre1"/>
      </w:pPr>
      <w:bookmarkStart w:id="4" w:name="_Toc212732427"/>
      <w:r>
        <w:lastRenderedPageBreak/>
        <w:t>Analyse des candidatures</w:t>
      </w:r>
      <w:bookmarkEnd w:id="4"/>
    </w:p>
    <w:p w14:paraId="031DD74A" w14:textId="18558213" w:rsidR="00C042EC" w:rsidRPr="00C042EC" w:rsidRDefault="00C042EC" w:rsidP="00C042EC">
      <w:r w:rsidRPr="00C042EC">
        <w:t>L’analyse des capacités juridiques, techniques et financières a été réalisée à partir de la recevabilité des documents administratifs demandés dans chacune de nos procédures.</w:t>
      </w:r>
    </w:p>
    <w:p w14:paraId="2AD8D1A7" w14:textId="54FF0021" w:rsidR="00C042EC" w:rsidRPr="00921FE0" w:rsidRDefault="00C042EC" w:rsidP="00C042EC">
      <w:r w:rsidRPr="00921FE0">
        <w:t xml:space="preserve">Une </w:t>
      </w:r>
      <w:r w:rsidR="00ED35B9">
        <w:t>candidature</w:t>
      </w:r>
      <w:r w:rsidRPr="00921FE0">
        <w:t xml:space="preserve"> a été rejetée </w:t>
      </w:r>
      <w:r w:rsidR="003D2199" w:rsidRPr="00921FE0">
        <w:t>pour motif d’irrégularité (</w:t>
      </w:r>
      <w:r w:rsidR="00921FE0" w:rsidRPr="00921FE0">
        <w:t>candidature et offre incomplètes).</w:t>
      </w:r>
    </w:p>
    <w:p w14:paraId="20DE069B" w14:textId="4BE58881" w:rsidR="00D15887" w:rsidRDefault="00C042EC" w:rsidP="00C562D4">
      <w:pPr>
        <w:pStyle w:val="PuceCamembert"/>
        <w:spacing w:after="360"/>
      </w:pPr>
      <w:r w:rsidRPr="00C042EC">
        <w:t>L’analyse des candidatures est disponible en annexe.</w:t>
      </w:r>
    </w:p>
    <w:p w14:paraId="00B02814" w14:textId="6095D0E5" w:rsidR="00D15887" w:rsidRDefault="0015379F" w:rsidP="00003C11">
      <w:pPr>
        <w:pStyle w:val="Titre1"/>
      </w:pPr>
      <w:bookmarkStart w:id="5" w:name="_Toc212732428"/>
      <w:r>
        <w:t>Mé</w:t>
      </w:r>
      <w:r w:rsidR="00C042EC">
        <w:t>thodologie d’analyse des offres</w:t>
      </w:r>
      <w:bookmarkEnd w:id="5"/>
    </w:p>
    <w:p w14:paraId="475C5B73" w14:textId="77777777" w:rsidR="00C042EC" w:rsidRDefault="00C042EC" w:rsidP="00C042EC">
      <w:r w:rsidRPr="00C042EC">
        <w:t>Les offres ont été analysées selon les critères suivants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042EC" w14:paraId="4CFFA687" w14:textId="77777777" w:rsidTr="00C042EC">
        <w:tc>
          <w:tcPr>
            <w:tcW w:w="4531" w:type="dxa"/>
          </w:tcPr>
          <w:p w14:paraId="5157C367" w14:textId="15D0E6FB" w:rsidR="00C042EC" w:rsidRPr="00C042EC" w:rsidRDefault="00C042EC" w:rsidP="00C042EC">
            <w:pPr>
              <w:jc w:val="center"/>
              <w:rPr>
                <w:b/>
                <w:bCs/>
                <w:noProof/>
                <w:highlight w:val="lightGray"/>
              </w:rPr>
            </w:pPr>
            <w:r w:rsidRPr="00C042EC">
              <w:rPr>
                <w:b/>
                <w:bCs/>
              </w:rPr>
              <w:t>Critères de classement de l’offre</w:t>
            </w:r>
          </w:p>
        </w:tc>
        <w:tc>
          <w:tcPr>
            <w:tcW w:w="4531" w:type="dxa"/>
          </w:tcPr>
          <w:p w14:paraId="2EF01FC5" w14:textId="0A39DF56" w:rsidR="00C042EC" w:rsidRPr="00C042EC" w:rsidRDefault="00C042EC" w:rsidP="00C042EC">
            <w:pPr>
              <w:jc w:val="center"/>
              <w:rPr>
                <w:b/>
                <w:bCs/>
                <w:noProof/>
                <w:highlight w:val="lightGray"/>
              </w:rPr>
            </w:pPr>
            <w:r w:rsidRPr="00C042EC">
              <w:rPr>
                <w:b/>
                <w:bCs/>
              </w:rPr>
              <w:t>Pondération</w:t>
            </w:r>
          </w:p>
        </w:tc>
      </w:tr>
      <w:tr w:rsidR="00C042EC" w14:paraId="7F29E2C8" w14:textId="77777777" w:rsidTr="00C042EC">
        <w:tc>
          <w:tcPr>
            <w:tcW w:w="4531" w:type="dxa"/>
          </w:tcPr>
          <w:p w14:paraId="06A45A58" w14:textId="6939A9E6" w:rsidR="00C042EC" w:rsidRDefault="00C042EC" w:rsidP="00C042EC">
            <w:pPr>
              <w:rPr>
                <w:noProof/>
                <w:highlight w:val="lightGray"/>
              </w:rPr>
            </w:pPr>
            <w:r w:rsidRPr="00D00132">
              <w:t>Valeur économique de l’offre</w:t>
            </w:r>
          </w:p>
        </w:tc>
        <w:tc>
          <w:tcPr>
            <w:tcW w:w="4531" w:type="dxa"/>
          </w:tcPr>
          <w:p w14:paraId="6A2A9884" w14:textId="6742AE6A" w:rsidR="00C042EC" w:rsidRDefault="00065261" w:rsidP="00C042EC">
            <w:pPr>
              <w:jc w:val="center"/>
              <w:rPr>
                <w:noProof/>
                <w:highlight w:val="lightGray"/>
              </w:rPr>
            </w:pPr>
            <w:r>
              <w:t>60</w:t>
            </w:r>
            <w:r w:rsidR="00C042EC" w:rsidRPr="00D00132">
              <w:t>%</w:t>
            </w:r>
          </w:p>
        </w:tc>
      </w:tr>
      <w:tr w:rsidR="00C042EC" w14:paraId="16416CA4" w14:textId="77777777" w:rsidTr="00C042EC">
        <w:tc>
          <w:tcPr>
            <w:tcW w:w="4531" w:type="dxa"/>
          </w:tcPr>
          <w:p w14:paraId="04EE02E7" w14:textId="4E3C6EBA" w:rsidR="00C042EC" w:rsidRDefault="00C042EC" w:rsidP="00C042EC">
            <w:pPr>
              <w:rPr>
                <w:noProof/>
                <w:highlight w:val="lightGray"/>
              </w:rPr>
            </w:pPr>
            <w:r w:rsidRPr="00D00132">
              <w:t>Valeur technique de l’offre</w:t>
            </w:r>
          </w:p>
        </w:tc>
        <w:tc>
          <w:tcPr>
            <w:tcW w:w="4531" w:type="dxa"/>
          </w:tcPr>
          <w:p w14:paraId="39F20F4A" w14:textId="33E100AE" w:rsidR="00C042EC" w:rsidRDefault="00065261" w:rsidP="00C042EC">
            <w:pPr>
              <w:jc w:val="center"/>
              <w:rPr>
                <w:noProof/>
                <w:highlight w:val="lightGray"/>
              </w:rPr>
            </w:pPr>
            <w:r>
              <w:t>40</w:t>
            </w:r>
            <w:r w:rsidR="00C042EC" w:rsidRPr="00D00132">
              <w:t>%</w:t>
            </w:r>
          </w:p>
        </w:tc>
      </w:tr>
    </w:tbl>
    <w:p w14:paraId="249E535C" w14:textId="77777777" w:rsidR="00564899" w:rsidRDefault="00564899" w:rsidP="00564899">
      <w:pPr>
        <w:pStyle w:val="Paragraphedeliste"/>
        <w:rPr>
          <w:b/>
          <w:bCs/>
          <w:noProof/>
          <w:u w:val="single"/>
        </w:rPr>
      </w:pPr>
    </w:p>
    <w:p w14:paraId="187F3C22" w14:textId="6C1CB6D1" w:rsidR="00C042EC" w:rsidRPr="00C042EC" w:rsidRDefault="00A76CF0" w:rsidP="00C042EC">
      <w:pPr>
        <w:pStyle w:val="Paragraphedeliste"/>
        <w:numPr>
          <w:ilvl w:val="0"/>
          <w:numId w:val="7"/>
        </w:numPr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t>V</w:t>
      </w:r>
      <w:r w:rsidR="00C042EC" w:rsidRPr="00C042EC">
        <w:rPr>
          <w:b/>
          <w:bCs/>
          <w:noProof/>
          <w:u w:val="single"/>
        </w:rPr>
        <w:t>aleur économique (</w:t>
      </w:r>
      <w:r w:rsidR="00177EF7">
        <w:rPr>
          <w:b/>
          <w:bCs/>
          <w:noProof/>
          <w:u w:val="single"/>
        </w:rPr>
        <w:t>60</w:t>
      </w:r>
      <w:r w:rsidR="00C042EC" w:rsidRPr="00C042EC">
        <w:rPr>
          <w:b/>
          <w:bCs/>
          <w:noProof/>
          <w:u w:val="single"/>
        </w:rPr>
        <w:t>%)</w:t>
      </w:r>
    </w:p>
    <w:p w14:paraId="5F1695CE" w14:textId="77777777" w:rsidR="00270462" w:rsidRDefault="00270462" w:rsidP="00270462">
      <w:pPr>
        <w:pStyle w:val="Default"/>
        <w:spacing w:before="160" w:after="16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La valeur économique des offres est appréciée sur la base du coût global des prestations. Les prix sont analysés sur la durée du marché, soit quarante-huit (48) mois. </w:t>
      </w:r>
    </w:p>
    <w:p w14:paraId="40665DF0" w14:textId="38A8265A" w:rsidR="00270462" w:rsidRPr="00270462" w:rsidRDefault="00270462" w:rsidP="00270462">
      <w:pPr>
        <w:pStyle w:val="Default"/>
        <w:spacing w:before="160" w:after="160" w:line="276" w:lineRule="auto"/>
        <w:jc w:val="both"/>
        <w:rPr>
          <w:sz w:val="22"/>
          <w:szCs w:val="22"/>
        </w:rPr>
      </w:pPr>
      <w:r w:rsidRPr="00270462">
        <w:rPr>
          <w:szCs w:val="22"/>
        </w:rPr>
        <w:t>Pour calculer le poids des conditions économiques proposées, les offres financières des candidats sont valorisées sur la base des « Simulations Financières » élaborées par l’A</w:t>
      </w:r>
      <w:r>
        <w:rPr>
          <w:szCs w:val="22"/>
        </w:rPr>
        <w:t>fpa</w:t>
      </w:r>
      <w:r w:rsidRPr="00270462">
        <w:rPr>
          <w:szCs w:val="22"/>
        </w:rPr>
        <w:t xml:space="preserve">. </w:t>
      </w:r>
    </w:p>
    <w:p w14:paraId="522EF0C5" w14:textId="0A97350E" w:rsidR="00C042EC" w:rsidRPr="00C042EC" w:rsidRDefault="00A76CF0" w:rsidP="00C042EC">
      <w:pPr>
        <w:pStyle w:val="Paragraphedeliste"/>
        <w:numPr>
          <w:ilvl w:val="0"/>
          <w:numId w:val="7"/>
        </w:numPr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t>V</w:t>
      </w:r>
      <w:r w:rsidR="00C042EC" w:rsidRPr="00C042EC">
        <w:rPr>
          <w:b/>
          <w:bCs/>
          <w:noProof/>
          <w:u w:val="single"/>
        </w:rPr>
        <w:t>aleur technique (</w:t>
      </w:r>
      <w:r w:rsidR="00177EF7" w:rsidRPr="00177EF7">
        <w:rPr>
          <w:b/>
          <w:bCs/>
          <w:noProof/>
          <w:u w:val="single"/>
        </w:rPr>
        <w:t>40</w:t>
      </w:r>
      <w:r w:rsidR="00C042EC" w:rsidRPr="00177EF7">
        <w:rPr>
          <w:b/>
          <w:bCs/>
          <w:noProof/>
          <w:u w:val="single"/>
        </w:rPr>
        <w:t>%)</w:t>
      </w:r>
    </w:p>
    <w:p w14:paraId="19B2E542" w14:textId="7B2E10EF" w:rsidR="003961AD" w:rsidRPr="003961AD" w:rsidRDefault="00C042EC" w:rsidP="003961AD">
      <w:pPr>
        <w:rPr>
          <w:noProof/>
        </w:rPr>
      </w:pPr>
      <w:r w:rsidRPr="003961AD">
        <w:rPr>
          <w:noProof/>
        </w:rPr>
        <w:t xml:space="preserve">La valeur technique a été analysée sur la base des réponses figurant dans le </w:t>
      </w:r>
      <w:r w:rsidR="00177EF7" w:rsidRPr="003961AD">
        <w:rPr>
          <w:noProof/>
        </w:rPr>
        <w:t>cadre de réponse</w:t>
      </w:r>
      <w:r w:rsidRPr="003961AD">
        <w:rPr>
          <w:noProof/>
        </w:rPr>
        <w:t xml:space="preserve"> technique, réparties selon les critères suivants :</w:t>
      </w:r>
    </w:p>
    <w:p w14:paraId="7F11C6F3" w14:textId="77777777" w:rsidR="003961AD" w:rsidRPr="003961AD" w:rsidRDefault="003961AD" w:rsidP="003961AD">
      <w:pPr>
        <w:pStyle w:val="PuceCamembert"/>
      </w:pPr>
      <w:r w:rsidRPr="003961AD">
        <w:t xml:space="preserve">Compréhension du contexte et enjeux de la TMA : 5 points </w:t>
      </w:r>
    </w:p>
    <w:p w14:paraId="680A5E66" w14:textId="77777777" w:rsidR="003961AD" w:rsidRPr="003961AD" w:rsidRDefault="003961AD" w:rsidP="003961AD">
      <w:pPr>
        <w:pStyle w:val="PuceCamembert"/>
      </w:pPr>
      <w:r w:rsidRPr="003961AD">
        <w:t xml:space="preserve">Description de la prestation de maintenance corrective, adaptative et évolutive : 40 points </w:t>
      </w:r>
    </w:p>
    <w:p w14:paraId="70D44E49" w14:textId="77777777" w:rsidR="003961AD" w:rsidRPr="003961AD" w:rsidRDefault="003961AD" w:rsidP="003961AD">
      <w:pPr>
        <w:pStyle w:val="PuceCamembert"/>
      </w:pPr>
      <w:r w:rsidRPr="003961AD">
        <w:t xml:space="preserve">Comitologie proposée : 10 points </w:t>
      </w:r>
    </w:p>
    <w:p w14:paraId="1BCC418E" w14:textId="77777777" w:rsidR="003961AD" w:rsidRPr="003961AD" w:rsidRDefault="003961AD" w:rsidP="003961AD">
      <w:pPr>
        <w:pStyle w:val="PuceCamembert"/>
      </w:pPr>
      <w:r w:rsidRPr="003961AD">
        <w:t xml:space="preserve">Organisation et gestion de projet : 20 points </w:t>
      </w:r>
    </w:p>
    <w:p w14:paraId="05FBA1F5" w14:textId="77777777" w:rsidR="003961AD" w:rsidRPr="003961AD" w:rsidRDefault="003961AD" w:rsidP="003961AD">
      <w:pPr>
        <w:pStyle w:val="PuceCamembert"/>
      </w:pPr>
      <w:r w:rsidRPr="003961AD">
        <w:t xml:space="preserve">Prise de connaissance et réversibilité : 10 points </w:t>
      </w:r>
    </w:p>
    <w:p w14:paraId="2180DE6A" w14:textId="77777777" w:rsidR="003961AD" w:rsidRPr="003961AD" w:rsidRDefault="003961AD" w:rsidP="003961AD">
      <w:pPr>
        <w:pStyle w:val="PuceCamembert"/>
      </w:pPr>
      <w:r w:rsidRPr="003961AD">
        <w:t xml:space="preserve">Qualité, conseil, amélioration continue, bonnes pratiques… : 10 points </w:t>
      </w:r>
    </w:p>
    <w:p w14:paraId="4B6D0EAD" w14:textId="1E926325" w:rsidR="003961AD" w:rsidRPr="001B4AC6" w:rsidRDefault="003961AD" w:rsidP="001B4AC6">
      <w:pPr>
        <w:pStyle w:val="PuceCamembert"/>
      </w:pPr>
      <w:r w:rsidRPr="003961AD">
        <w:t xml:space="preserve">Démarche RSE (rapport RSE, charte éthique…), présentation des valeurs de l’entreprise : 5 points </w:t>
      </w:r>
    </w:p>
    <w:p w14:paraId="46727B26" w14:textId="4329AF8A" w:rsidR="00C042EC" w:rsidRPr="00CB7E25" w:rsidRDefault="00C042EC" w:rsidP="00C042EC">
      <w:pPr>
        <w:rPr>
          <w:noProof/>
        </w:rPr>
      </w:pPr>
      <w:r w:rsidRPr="00CB7E25">
        <w:rPr>
          <w:noProof/>
        </w:rPr>
        <w:t>Toutes les offres ont été classées</w:t>
      </w:r>
      <w:r w:rsidR="00CB7E25" w:rsidRPr="00CB7E25">
        <w:rPr>
          <w:noProof/>
        </w:rPr>
        <w:t xml:space="preserve"> parmi les candidatures retenues.</w:t>
      </w:r>
    </w:p>
    <w:p w14:paraId="12D04D5D" w14:textId="24790941" w:rsidR="00D15887" w:rsidRDefault="00C042EC" w:rsidP="00003C11">
      <w:pPr>
        <w:pStyle w:val="Titre1"/>
      </w:pPr>
      <w:bookmarkStart w:id="6" w:name="_Toc212732429"/>
      <w:r>
        <w:lastRenderedPageBreak/>
        <w:t>Analyse de la valeur des offres</w:t>
      </w:r>
      <w:bookmarkEnd w:id="6"/>
    </w:p>
    <w:p w14:paraId="66C552B6" w14:textId="2C540A44" w:rsidR="00C042EC" w:rsidRPr="00C042EC" w:rsidRDefault="00C042EC" w:rsidP="00C042EC">
      <w:pPr>
        <w:rPr>
          <w:noProof/>
        </w:rPr>
      </w:pPr>
      <w:r w:rsidRPr="00C042EC">
        <w:rPr>
          <w:noProof/>
        </w:rPr>
        <w:t>L’analyse économique et technique dans son détail est jointe au présent document en annexe.</w:t>
      </w:r>
    </w:p>
    <w:p w14:paraId="5996B214" w14:textId="77777777" w:rsidR="00C042EC" w:rsidRDefault="00C042EC" w:rsidP="00C042EC">
      <w:pPr>
        <w:rPr>
          <w:noProof/>
        </w:rPr>
      </w:pPr>
      <w:r w:rsidRPr="00C042EC">
        <w:rPr>
          <w:noProof/>
        </w:rPr>
        <w:t>Le classement final des offres est le suivant :</w:t>
      </w:r>
    </w:p>
    <w:tbl>
      <w:tblPr>
        <w:tblW w:w="911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3"/>
        <w:gridCol w:w="854"/>
        <w:gridCol w:w="1172"/>
        <w:gridCol w:w="937"/>
        <w:gridCol w:w="1057"/>
        <w:gridCol w:w="703"/>
        <w:gridCol w:w="942"/>
        <w:gridCol w:w="1605"/>
      </w:tblGrid>
      <w:tr w:rsidR="00C042EC" w:rsidRPr="005E1408" w14:paraId="094804C8" w14:textId="77777777" w:rsidTr="00623F80">
        <w:trPr>
          <w:trHeight w:val="403"/>
        </w:trPr>
        <w:tc>
          <w:tcPr>
            <w:tcW w:w="1843" w:type="dxa"/>
            <w:vMerge w:val="restart"/>
            <w:vAlign w:val="center"/>
            <w:hideMark/>
          </w:tcPr>
          <w:p w14:paraId="4FA16B3B" w14:textId="77777777" w:rsidR="00C042EC" w:rsidRPr="00C042EC" w:rsidRDefault="00C042EC" w:rsidP="005A6B77">
            <w:pPr>
              <w:jc w:val="center"/>
              <w:rPr>
                <w:rFonts w:cs="Calibri"/>
                <w:szCs w:val="22"/>
              </w:rPr>
            </w:pPr>
            <w:r w:rsidRPr="00C042EC">
              <w:rPr>
                <w:rFonts w:cs="Calibri"/>
                <w:szCs w:val="22"/>
              </w:rPr>
              <w:t>Raison sociale</w:t>
            </w:r>
          </w:p>
        </w:tc>
        <w:tc>
          <w:tcPr>
            <w:tcW w:w="2026" w:type="dxa"/>
            <w:gridSpan w:val="2"/>
            <w:vAlign w:val="center"/>
            <w:hideMark/>
          </w:tcPr>
          <w:p w14:paraId="7E9B8E05" w14:textId="77777777" w:rsidR="00C042EC" w:rsidRPr="00C042EC" w:rsidRDefault="00C042EC" w:rsidP="005A6B77">
            <w:pPr>
              <w:jc w:val="center"/>
              <w:rPr>
                <w:rFonts w:cs="Calibri"/>
                <w:szCs w:val="22"/>
              </w:rPr>
            </w:pPr>
            <w:r w:rsidRPr="00C042EC">
              <w:rPr>
                <w:rFonts w:cs="Calibri"/>
                <w:szCs w:val="22"/>
              </w:rPr>
              <w:t>Classement final</w:t>
            </w:r>
          </w:p>
        </w:tc>
        <w:tc>
          <w:tcPr>
            <w:tcW w:w="1994" w:type="dxa"/>
            <w:gridSpan w:val="2"/>
            <w:vAlign w:val="bottom"/>
            <w:hideMark/>
          </w:tcPr>
          <w:p w14:paraId="30A462FC" w14:textId="77777777" w:rsidR="00C042EC" w:rsidRPr="00C042EC" w:rsidRDefault="00C042EC" w:rsidP="005A6B77">
            <w:pPr>
              <w:jc w:val="center"/>
              <w:rPr>
                <w:rFonts w:cs="Calibri"/>
                <w:szCs w:val="22"/>
              </w:rPr>
            </w:pPr>
            <w:r w:rsidRPr="00C042EC">
              <w:rPr>
                <w:rFonts w:cs="Calibri"/>
                <w:szCs w:val="22"/>
              </w:rPr>
              <w:t>Classement critère financier</w:t>
            </w:r>
          </w:p>
        </w:tc>
        <w:tc>
          <w:tcPr>
            <w:tcW w:w="1645" w:type="dxa"/>
            <w:gridSpan w:val="2"/>
            <w:vAlign w:val="bottom"/>
            <w:hideMark/>
          </w:tcPr>
          <w:p w14:paraId="2D76191E" w14:textId="77777777" w:rsidR="00C042EC" w:rsidRPr="00C042EC" w:rsidRDefault="00C042EC" w:rsidP="005A6B77">
            <w:pPr>
              <w:jc w:val="center"/>
              <w:rPr>
                <w:rFonts w:cs="Calibri"/>
                <w:szCs w:val="22"/>
              </w:rPr>
            </w:pPr>
            <w:r w:rsidRPr="00C042EC">
              <w:rPr>
                <w:rFonts w:cs="Calibri"/>
                <w:szCs w:val="22"/>
              </w:rPr>
              <w:t>Classement critère technique</w:t>
            </w:r>
          </w:p>
        </w:tc>
        <w:tc>
          <w:tcPr>
            <w:tcW w:w="1605" w:type="dxa"/>
            <w:vMerge w:val="restart"/>
            <w:vAlign w:val="center"/>
            <w:hideMark/>
          </w:tcPr>
          <w:p w14:paraId="26AE56E3" w14:textId="77777777" w:rsidR="00C042EC" w:rsidRPr="00C042EC" w:rsidRDefault="00C042EC" w:rsidP="005A6B77">
            <w:pPr>
              <w:jc w:val="center"/>
              <w:rPr>
                <w:rFonts w:cs="Calibri"/>
                <w:szCs w:val="22"/>
              </w:rPr>
            </w:pPr>
            <w:r w:rsidRPr="00C042EC">
              <w:rPr>
                <w:rFonts w:cs="Calibri"/>
                <w:szCs w:val="22"/>
              </w:rPr>
              <w:t>Montant TTC de l'offre</w:t>
            </w:r>
          </w:p>
        </w:tc>
      </w:tr>
      <w:tr w:rsidR="00C042EC" w:rsidRPr="005E1408" w14:paraId="5B63A98E" w14:textId="77777777" w:rsidTr="00623F80">
        <w:trPr>
          <w:trHeight w:val="491"/>
        </w:trPr>
        <w:tc>
          <w:tcPr>
            <w:tcW w:w="1843" w:type="dxa"/>
            <w:vMerge/>
            <w:vAlign w:val="center"/>
            <w:hideMark/>
          </w:tcPr>
          <w:p w14:paraId="2AEC169E" w14:textId="77777777" w:rsidR="00C042EC" w:rsidRPr="00C042EC" w:rsidRDefault="00C042EC" w:rsidP="005A6B77">
            <w:pPr>
              <w:rPr>
                <w:rFonts w:cs="Calibri"/>
                <w:szCs w:val="22"/>
              </w:rPr>
            </w:pPr>
          </w:p>
        </w:tc>
        <w:tc>
          <w:tcPr>
            <w:tcW w:w="854" w:type="dxa"/>
            <w:vAlign w:val="center"/>
            <w:hideMark/>
          </w:tcPr>
          <w:p w14:paraId="3E2C7A73" w14:textId="77777777" w:rsidR="00C042EC" w:rsidRPr="00C042EC" w:rsidRDefault="00C042EC" w:rsidP="005A6B77">
            <w:pPr>
              <w:jc w:val="center"/>
              <w:rPr>
                <w:rFonts w:cs="Calibri"/>
                <w:szCs w:val="22"/>
              </w:rPr>
            </w:pPr>
            <w:r w:rsidRPr="00C042EC">
              <w:rPr>
                <w:rFonts w:cs="Calibri"/>
                <w:szCs w:val="22"/>
              </w:rPr>
              <w:t>Rang</w:t>
            </w:r>
          </w:p>
        </w:tc>
        <w:tc>
          <w:tcPr>
            <w:tcW w:w="1172" w:type="dxa"/>
            <w:vAlign w:val="center"/>
            <w:hideMark/>
          </w:tcPr>
          <w:p w14:paraId="4B625974" w14:textId="77777777" w:rsidR="00C042EC" w:rsidRPr="00C042EC" w:rsidRDefault="00C042EC" w:rsidP="005A6B77">
            <w:pPr>
              <w:jc w:val="center"/>
              <w:rPr>
                <w:rFonts w:cs="Calibri"/>
                <w:szCs w:val="22"/>
              </w:rPr>
            </w:pPr>
            <w:r w:rsidRPr="00C042EC">
              <w:rPr>
                <w:rFonts w:cs="Calibri"/>
                <w:szCs w:val="22"/>
              </w:rPr>
              <w:t>Note</w:t>
            </w:r>
            <w:r w:rsidRPr="00C042EC">
              <w:rPr>
                <w:rFonts w:cs="Calibri"/>
                <w:szCs w:val="22"/>
              </w:rPr>
              <w:br/>
              <w:t>(sur 100)</w:t>
            </w:r>
          </w:p>
        </w:tc>
        <w:tc>
          <w:tcPr>
            <w:tcW w:w="937" w:type="dxa"/>
            <w:vAlign w:val="center"/>
            <w:hideMark/>
          </w:tcPr>
          <w:p w14:paraId="170EA284" w14:textId="77777777" w:rsidR="00C042EC" w:rsidRPr="00C042EC" w:rsidRDefault="00C042EC" w:rsidP="005A6B77">
            <w:pPr>
              <w:jc w:val="center"/>
              <w:rPr>
                <w:rFonts w:cs="Calibri"/>
                <w:szCs w:val="22"/>
              </w:rPr>
            </w:pPr>
            <w:r w:rsidRPr="00C042EC">
              <w:rPr>
                <w:rFonts w:cs="Calibri"/>
                <w:szCs w:val="22"/>
              </w:rPr>
              <w:t>Rang</w:t>
            </w:r>
          </w:p>
        </w:tc>
        <w:tc>
          <w:tcPr>
            <w:tcW w:w="1057" w:type="dxa"/>
            <w:vAlign w:val="center"/>
            <w:hideMark/>
          </w:tcPr>
          <w:p w14:paraId="277D6098" w14:textId="3C0A2AB2" w:rsidR="00C042EC" w:rsidRPr="00C54DAF" w:rsidRDefault="00C042EC" w:rsidP="005A6B77">
            <w:pPr>
              <w:jc w:val="center"/>
              <w:rPr>
                <w:rFonts w:cs="Calibri"/>
                <w:szCs w:val="22"/>
              </w:rPr>
            </w:pPr>
            <w:r w:rsidRPr="00C54DAF">
              <w:rPr>
                <w:rFonts w:cs="Calibri"/>
                <w:szCs w:val="22"/>
              </w:rPr>
              <w:t>Note</w:t>
            </w:r>
            <w:r w:rsidRPr="00C54DAF">
              <w:rPr>
                <w:rFonts w:cs="Calibri"/>
                <w:szCs w:val="22"/>
              </w:rPr>
              <w:br/>
              <w:t xml:space="preserve">(sur </w:t>
            </w:r>
            <w:r w:rsidR="00AF7DFE" w:rsidRPr="00C54DAF">
              <w:rPr>
                <w:rFonts w:cs="Calibri"/>
                <w:szCs w:val="22"/>
              </w:rPr>
              <w:t>6</w:t>
            </w:r>
            <w:r w:rsidRPr="00C54DAF">
              <w:rPr>
                <w:rFonts w:cs="Calibri"/>
                <w:szCs w:val="22"/>
              </w:rPr>
              <w:t>0)</w:t>
            </w:r>
          </w:p>
        </w:tc>
        <w:tc>
          <w:tcPr>
            <w:tcW w:w="703" w:type="dxa"/>
            <w:vAlign w:val="center"/>
            <w:hideMark/>
          </w:tcPr>
          <w:p w14:paraId="0FEF7B5E" w14:textId="77777777" w:rsidR="00C042EC" w:rsidRPr="00C54DAF" w:rsidRDefault="00C042EC" w:rsidP="005A6B77">
            <w:pPr>
              <w:jc w:val="center"/>
              <w:rPr>
                <w:rFonts w:cs="Calibri"/>
                <w:szCs w:val="22"/>
              </w:rPr>
            </w:pPr>
            <w:r w:rsidRPr="00C54DAF">
              <w:rPr>
                <w:rFonts w:cs="Calibri"/>
                <w:szCs w:val="22"/>
              </w:rPr>
              <w:t>Rang</w:t>
            </w:r>
          </w:p>
        </w:tc>
        <w:tc>
          <w:tcPr>
            <w:tcW w:w="942" w:type="dxa"/>
            <w:vAlign w:val="center"/>
            <w:hideMark/>
          </w:tcPr>
          <w:p w14:paraId="715C77F2" w14:textId="3D759F08" w:rsidR="00C042EC" w:rsidRPr="00C54DAF" w:rsidRDefault="00C042EC" w:rsidP="005A6B77">
            <w:pPr>
              <w:jc w:val="center"/>
              <w:rPr>
                <w:rFonts w:cs="Calibri"/>
                <w:szCs w:val="22"/>
              </w:rPr>
            </w:pPr>
            <w:r w:rsidRPr="00C54DAF">
              <w:rPr>
                <w:rFonts w:cs="Calibri"/>
                <w:szCs w:val="22"/>
              </w:rPr>
              <w:t>Note</w:t>
            </w:r>
            <w:r w:rsidRPr="00C54DAF">
              <w:rPr>
                <w:rFonts w:cs="Calibri"/>
                <w:szCs w:val="22"/>
              </w:rPr>
              <w:br/>
              <w:t xml:space="preserve">(sur </w:t>
            </w:r>
            <w:r w:rsidR="00AF7DFE" w:rsidRPr="00C54DAF">
              <w:rPr>
                <w:rFonts w:cs="Calibri"/>
                <w:szCs w:val="22"/>
              </w:rPr>
              <w:t>4</w:t>
            </w:r>
            <w:r w:rsidRPr="00C54DAF">
              <w:rPr>
                <w:rFonts w:cs="Calibri"/>
                <w:szCs w:val="22"/>
              </w:rPr>
              <w:t>0)</w:t>
            </w:r>
          </w:p>
        </w:tc>
        <w:tc>
          <w:tcPr>
            <w:tcW w:w="1605" w:type="dxa"/>
            <w:vMerge/>
            <w:vAlign w:val="center"/>
            <w:hideMark/>
          </w:tcPr>
          <w:p w14:paraId="037284F7" w14:textId="77777777" w:rsidR="00C042EC" w:rsidRPr="00C042EC" w:rsidRDefault="00C042EC" w:rsidP="005A6B77">
            <w:pPr>
              <w:rPr>
                <w:rFonts w:cs="Calibri"/>
                <w:szCs w:val="22"/>
              </w:rPr>
            </w:pPr>
          </w:p>
        </w:tc>
      </w:tr>
      <w:tr w:rsidR="00623F80" w:rsidRPr="00623F80" w14:paraId="3359B94F" w14:textId="77777777" w:rsidTr="00623F80">
        <w:trPr>
          <w:trHeight w:val="42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B5C17E" w14:textId="3C18EA34" w:rsidR="00623F80" w:rsidRPr="00623F80" w:rsidRDefault="000B28A2" w:rsidP="00623F80">
            <w:pPr>
              <w:jc w:val="center"/>
              <w:rPr>
                <w:rFonts w:cs="Calibri"/>
                <w:b/>
                <w:bCs/>
                <w:szCs w:val="22"/>
              </w:rPr>
            </w:pPr>
            <w:r>
              <w:rPr>
                <w:rFonts w:cs="Calibri"/>
                <w:b/>
                <w:bCs/>
                <w:szCs w:val="22"/>
              </w:rPr>
              <w:t>Fournisseur a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CCD3E4" w14:textId="77777777" w:rsidR="00623F80" w:rsidRPr="00623F80" w:rsidRDefault="00623F80" w:rsidP="00623F80">
            <w:pPr>
              <w:jc w:val="center"/>
              <w:rPr>
                <w:rFonts w:cs="Calibri"/>
                <w:b/>
                <w:bCs/>
                <w:szCs w:val="22"/>
              </w:rPr>
            </w:pPr>
            <w:r w:rsidRPr="00623F80">
              <w:rPr>
                <w:rFonts w:cs="Calibri"/>
                <w:b/>
                <w:bCs/>
                <w:szCs w:val="22"/>
              </w:rPr>
              <w:t>1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E9B8DC" w14:textId="77777777" w:rsidR="00623F80" w:rsidRPr="00623F80" w:rsidRDefault="00623F80" w:rsidP="00623F80">
            <w:pPr>
              <w:jc w:val="center"/>
              <w:rPr>
                <w:rFonts w:cs="Calibri"/>
                <w:b/>
                <w:bCs/>
                <w:szCs w:val="22"/>
              </w:rPr>
            </w:pPr>
            <w:r w:rsidRPr="00623F80">
              <w:rPr>
                <w:rFonts w:cs="Calibri"/>
                <w:b/>
                <w:bCs/>
                <w:szCs w:val="22"/>
              </w:rPr>
              <w:t>94,00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657A09" w14:textId="77777777" w:rsidR="00623F80" w:rsidRPr="00623F80" w:rsidRDefault="00623F80" w:rsidP="00623F80">
            <w:pPr>
              <w:jc w:val="center"/>
              <w:rPr>
                <w:rFonts w:cs="Calibri"/>
                <w:b/>
                <w:bCs/>
                <w:szCs w:val="22"/>
              </w:rPr>
            </w:pPr>
            <w:r w:rsidRPr="00623F80">
              <w:rPr>
                <w:rFonts w:cs="Calibri"/>
                <w:b/>
                <w:bCs/>
                <w:szCs w:val="22"/>
              </w:rPr>
              <w:t>1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0761E5" w14:textId="77777777" w:rsidR="00623F80" w:rsidRPr="00623F80" w:rsidRDefault="00623F80" w:rsidP="00623F80">
            <w:pPr>
              <w:jc w:val="center"/>
              <w:rPr>
                <w:rFonts w:cs="Calibri"/>
                <w:b/>
                <w:bCs/>
                <w:szCs w:val="22"/>
              </w:rPr>
            </w:pPr>
            <w:r w:rsidRPr="00623F80">
              <w:rPr>
                <w:rFonts w:cs="Calibri"/>
                <w:b/>
                <w:bCs/>
                <w:szCs w:val="22"/>
              </w:rPr>
              <w:t>60,00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435D21" w14:textId="77777777" w:rsidR="00623F80" w:rsidRPr="00623F80" w:rsidRDefault="00623F80" w:rsidP="00623F80">
            <w:pPr>
              <w:jc w:val="center"/>
              <w:rPr>
                <w:rFonts w:cs="Calibri"/>
                <w:b/>
                <w:bCs/>
                <w:szCs w:val="22"/>
              </w:rPr>
            </w:pPr>
            <w:r w:rsidRPr="00623F80">
              <w:rPr>
                <w:rFonts w:cs="Calibri"/>
                <w:b/>
                <w:bCs/>
                <w:szCs w:val="22"/>
              </w:rPr>
              <w:t>1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588F5C" w14:textId="77777777" w:rsidR="00623F80" w:rsidRPr="00623F80" w:rsidRDefault="00623F80" w:rsidP="00623F80">
            <w:pPr>
              <w:jc w:val="center"/>
              <w:rPr>
                <w:rFonts w:cs="Calibri"/>
                <w:b/>
                <w:bCs/>
                <w:szCs w:val="22"/>
              </w:rPr>
            </w:pPr>
            <w:r w:rsidRPr="00623F80">
              <w:rPr>
                <w:rFonts w:cs="Calibri"/>
                <w:b/>
                <w:bCs/>
                <w:szCs w:val="22"/>
              </w:rPr>
              <w:t>34,00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808421" w14:textId="1012BE46" w:rsidR="00623F80" w:rsidRPr="00623F80" w:rsidRDefault="00623F80" w:rsidP="00623F80">
            <w:pPr>
              <w:jc w:val="center"/>
              <w:rPr>
                <w:rFonts w:cs="Calibri"/>
                <w:b/>
                <w:bCs/>
                <w:color w:val="000000"/>
                <w:szCs w:val="22"/>
              </w:rPr>
            </w:pPr>
            <w:r w:rsidRPr="00623F80">
              <w:rPr>
                <w:rFonts w:cs="Calibri"/>
                <w:b/>
                <w:bCs/>
                <w:color w:val="000000"/>
                <w:szCs w:val="22"/>
              </w:rPr>
              <w:t>1 036 593,62 €</w:t>
            </w:r>
          </w:p>
        </w:tc>
      </w:tr>
      <w:tr w:rsidR="00623F80" w:rsidRPr="00623F80" w14:paraId="08CD359E" w14:textId="77777777" w:rsidTr="00623F80">
        <w:trPr>
          <w:trHeight w:val="42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26E4F1" w14:textId="6A51C8C0" w:rsidR="00623F80" w:rsidRPr="00623F80" w:rsidRDefault="000B28A2" w:rsidP="00623F80">
            <w:pPr>
              <w:jc w:val="center"/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Fournisseur b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29B1D7" w14:textId="77777777" w:rsidR="00623F80" w:rsidRPr="00623F80" w:rsidRDefault="00623F80" w:rsidP="00623F80">
            <w:pPr>
              <w:jc w:val="center"/>
              <w:rPr>
                <w:rFonts w:cs="Calibri"/>
                <w:szCs w:val="22"/>
              </w:rPr>
            </w:pPr>
            <w:r w:rsidRPr="00623F80">
              <w:rPr>
                <w:rFonts w:cs="Calibri"/>
                <w:szCs w:val="22"/>
              </w:rPr>
              <w:t>2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985919" w14:textId="77777777" w:rsidR="00623F80" w:rsidRPr="00623F80" w:rsidRDefault="00623F80" w:rsidP="00623F80">
            <w:pPr>
              <w:jc w:val="center"/>
              <w:rPr>
                <w:rFonts w:cs="Calibri"/>
                <w:szCs w:val="22"/>
              </w:rPr>
            </w:pPr>
            <w:r w:rsidRPr="00623F80">
              <w:rPr>
                <w:rFonts w:cs="Calibri"/>
                <w:szCs w:val="22"/>
              </w:rPr>
              <w:t>85,91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F05AD" w14:textId="77777777" w:rsidR="00623F80" w:rsidRPr="00623F80" w:rsidRDefault="00623F80" w:rsidP="00623F80">
            <w:pPr>
              <w:jc w:val="center"/>
              <w:rPr>
                <w:rFonts w:cs="Calibri"/>
                <w:szCs w:val="22"/>
              </w:rPr>
            </w:pPr>
            <w:r w:rsidRPr="00623F80">
              <w:rPr>
                <w:rFonts w:cs="Calibri"/>
                <w:szCs w:val="22"/>
              </w:rPr>
              <w:t>2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A97F68" w14:textId="77777777" w:rsidR="00623F80" w:rsidRPr="00623F80" w:rsidRDefault="00623F80" w:rsidP="00623F80">
            <w:pPr>
              <w:jc w:val="center"/>
              <w:rPr>
                <w:rFonts w:cs="Calibri"/>
                <w:szCs w:val="22"/>
              </w:rPr>
            </w:pPr>
            <w:r w:rsidRPr="00623F80">
              <w:rPr>
                <w:rFonts w:cs="Calibri"/>
                <w:szCs w:val="22"/>
              </w:rPr>
              <w:t>57,91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89B682" w14:textId="77777777" w:rsidR="00623F80" w:rsidRPr="00623F80" w:rsidRDefault="00623F80" w:rsidP="00623F80">
            <w:pPr>
              <w:jc w:val="center"/>
              <w:rPr>
                <w:rFonts w:cs="Calibri"/>
                <w:szCs w:val="22"/>
              </w:rPr>
            </w:pPr>
            <w:r w:rsidRPr="00623F80">
              <w:rPr>
                <w:rFonts w:cs="Calibri"/>
                <w:szCs w:val="22"/>
              </w:rPr>
              <w:t>2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2B91A4" w14:textId="77777777" w:rsidR="00623F80" w:rsidRPr="00623F80" w:rsidRDefault="00623F80" w:rsidP="00623F80">
            <w:pPr>
              <w:jc w:val="center"/>
              <w:rPr>
                <w:rFonts w:cs="Calibri"/>
                <w:szCs w:val="22"/>
              </w:rPr>
            </w:pPr>
            <w:r w:rsidRPr="00623F80">
              <w:rPr>
                <w:rFonts w:cs="Calibri"/>
                <w:szCs w:val="22"/>
              </w:rPr>
              <w:t>28,00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7EF016" w14:textId="3A1A2D3E" w:rsidR="00623F80" w:rsidRPr="00623F80" w:rsidRDefault="00623F80" w:rsidP="00623F80">
            <w:pPr>
              <w:jc w:val="center"/>
              <w:rPr>
                <w:rFonts w:cs="Calibri"/>
                <w:color w:val="000000"/>
                <w:szCs w:val="22"/>
              </w:rPr>
            </w:pPr>
            <w:r w:rsidRPr="00623F80">
              <w:rPr>
                <w:rFonts w:cs="Calibri"/>
                <w:color w:val="000000"/>
                <w:szCs w:val="22"/>
              </w:rPr>
              <w:t>1 073 948,57 €</w:t>
            </w:r>
          </w:p>
        </w:tc>
      </w:tr>
    </w:tbl>
    <w:p w14:paraId="4723ADE4" w14:textId="77777777" w:rsidR="00AB1AB6" w:rsidRPr="00AB1AB6" w:rsidRDefault="00AB1AB6" w:rsidP="00A96451">
      <w:pPr>
        <w:rPr>
          <w:noProof/>
          <w:sz w:val="8"/>
          <w:szCs w:val="10"/>
        </w:rPr>
      </w:pPr>
    </w:p>
    <w:p w14:paraId="4689A01E" w14:textId="29F5FD81" w:rsidR="00C042EC" w:rsidRPr="00C042EC" w:rsidRDefault="00A96451" w:rsidP="00167428">
      <w:pPr>
        <w:rPr>
          <w:noProof/>
        </w:rPr>
      </w:pPr>
      <w:r w:rsidRPr="00A96451">
        <w:rPr>
          <w:noProof/>
        </w:rPr>
        <w:t>Le montant de l’offre du prestataire pressenti s’élève à 1</w:t>
      </w:r>
      <w:r>
        <w:rPr>
          <w:noProof/>
        </w:rPr>
        <w:t xml:space="preserve"> </w:t>
      </w:r>
      <w:r w:rsidRPr="00A96451">
        <w:rPr>
          <w:noProof/>
        </w:rPr>
        <w:t>036 593,62 € TTC.</w:t>
      </w:r>
      <w:r w:rsidRPr="00A96451">
        <w:rPr>
          <w:noProof/>
        </w:rPr>
        <w:br/>
        <w:t xml:space="preserve">Pour rappel, le montant estimé dans la note d’opportunité était de 1 080 000 € TTC, soit un écart de </w:t>
      </w:r>
      <w:r>
        <w:rPr>
          <w:noProof/>
        </w:rPr>
        <w:t xml:space="preserve">- </w:t>
      </w:r>
      <w:r w:rsidRPr="00A96451">
        <w:rPr>
          <w:noProof/>
        </w:rPr>
        <w:t>43 406,38 € TTC</w:t>
      </w:r>
      <w:r>
        <w:rPr>
          <w:noProof/>
        </w:rPr>
        <w:t xml:space="preserve"> (- </w:t>
      </w:r>
      <w:r w:rsidRPr="00A96451">
        <w:rPr>
          <w:noProof/>
        </w:rPr>
        <w:t>4,02 %</w:t>
      </w:r>
      <w:r>
        <w:rPr>
          <w:noProof/>
        </w:rPr>
        <w:t>).</w:t>
      </w:r>
    </w:p>
    <w:p w14:paraId="57FA20E1" w14:textId="60337817" w:rsidR="00D15887" w:rsidRDefault="00C042EC" w:rsidP="00003C11">
      <w:pPr>
        <w:pStyle w:val="Titre1"/>
      </w:pPr>
      <w:bookmarkStart w:id="7" w:name="_Toc212732430"/>
      <w:r>
        <w:t>Analyse de la performance du dossier</w:t>
      </w:r>
      <w:bookmarkEnd w:id="7"/>
    </w:p>
    <w:p w14:paraId="4F903259" w14:textId="77777777" w:rsidR="0002138D" w:rsidRPr="0015379F" w:rsidRDefault="0002138D" w:rsidP="0002138D">
      <w:pPr>
        <w:rPr>
          <w:color w:val="FF0000"/>
        </w:rPr>
      </w:pPr>
      <w:r>
        <w:t>L’analyse de la performance est effectuée en comparant l’offre de l’attributaire pressenti à la valeur de référence. Ici, la valeur de référence est calculée à partir de la moyenne des offres des candidats soumissionnaires.</w:t>
      </w:r>
    </w:p>
    <w:p w14:paraId="5A15BC64" w14:textId="1C0EEBD5" w:rsidR="0015379F" w:rsidRDefault="0015379F" w:rsidP="0015379F">
      <w:r>
        <w:t xml:space="preserve">Au global, la performance achat est de </w:t>
      </w:r>
      <w:r w:rsidR="00033CF1">
        <w:t xml:space="preserve">- </w:t>
      </w:r>
      <w:r w:rsidR="00AB1AB6">
        <w:t xml:space="preserve">1,8 </w:t>
      </w:r>
      <w:r>
        <w:t>%</w:t>
      </w:r>
      <w:r w:rsidR="00AB1AB6">
        <w:t>.</w:t>
      </w:r>
    </w:p>
    <w:p w14:paraId="74406C3D" w14:textId="1D6DF7A5" w:rsidR="00D15887" w:rsidRPr="00832D9D" w:rsidRDefault="0015379F" w:rsidP="0015379F">
      <w:r>
        <w:t xml:space="preserve">L’impact budgétaire estimé pour la durée totale du marché </w:t>
      </w:r>
      <w:r w:rsidRPr="00033CF1">
        <w:t xml:space="preserve">est donc un gain de </w:t>
      </w:r>
      <w:r w:rsidR="00832D9D">
        <w:t xml:space="preserve">- </w:t>
      </w:r>
      <w:r w:rsidR="009B5AC0" w:rsidRPr="00832D9D">
        <w:t xml:space="preserve">18 677,47 </w:t>
      </w:r>
      <w:r>
        <w:t xml:space="preserve">€ TTC (soit </w:t>
      </w:r>
      <w:r w:rsidR="00183E60" w:rsidRPr="00832D9D">
        <w:t xml:space="preserve">- 15 564,56 </w:t>
      </w:r>
      <w:r>
        <w:t xml:space="preserve">€ HT) sur un marché de </w:t>
      </w:r>
      <w:r w:rsidR="00183E60" w:rsidRPr="00A96451">
        <w:t>1</w:t>
      </w:r>
      <w:r w:rsidR="00183E60">
        <w:t xml:space="preserve"> </w:t>
      </w:r>
      <w:r w:rsidR="00183E60" w:rsidRPr="00A96451">
        <w:t xml:space="preserve">036 593,62 </w:t>
      </w:r>
      <w:r>
        <w:t>€ TTC (soit</w:t>
      </w:r>
      <w:r w:rsidR="00033CF1" w:rsidRPr="00832D9D">
        <w:t xml:space="preserve"> 863 828,02 </w:t>
      </w:r>
      <w:r>
        <w:t>€ HT).</w:t>
      </w:r>
    </w:p>
    <w:p w14:paraId="2D5DF8B3" w14:textId="4E2BB416" w:rsidR="0015379F" w:rsidRDefault="00945422" w:rsidP="00C562D4">
      <w:pPr>
        <w:spacing w:after="360"/>
      </w:pPr>
      <w:r w:rsidRPr="00945422">
        <w:rPr>
          <w:noProof/>
        </w:rPr>
        <w:drawing>
          <wp:inline distT="0" distB="0" distL="0" distR="0" wp14:anchorId="1E7C2869" wp14:editId="7A68A103">
            <wp:extent cx="5760720" cy="2037080"/>
            <wp:effectExtent l="19050" t="19050" r="11430" b="20320"/>
            <wp:docPr id="1702940066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40066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7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8558A5" w14:textId="1AE22982" w:rsidR="00D15887" w:rsidRDefault="0015379F" w:rsidP="00003C11">
      <w:pPr>
        <w:pStyle w:val="Titre1"/>
      </w:pPr>
      <w:bookmarkStart w:id="8" w:name="_Toc212732431"/>
      <w:r>
        <w:lastRenderedPageBreak/>
        <w:t>Proposition d’attribution</w:t>
      </w:r>
      <w:bookmarkEnd w:id="8"/>
    </w:p>
    <w:p w14:paraId="67958C80" w14:textId="6455BA6A" w:rsidR="0015379F" w:rsidRPr="00B45D51" w:rsidRDefault="0015379F" w:rsidP="0015379F">
      <w:r>
        <w:t xml:space="preserve">Au regard de ces éléments la commission d’ouverture souhaite attribuer le </w:t>
      </w:r>
      <w:r w:rsidRPr="00B45D51">
        <w:t xml:space="preserve">marché à </w:t>
      </w:r>
      <w:r w:rsidR="000B28A2">
        <w:rPr>
          <w:b/>
          <w:bCs/>
        </w:rPr>
        <w:t>fournisseur B</w:t>
      </w:r>
      <w:r w:rsidRPr="00B45D51">
        <w:t>.</w:t>
      </w:r>
    </w:p>
    <w:p w14:paraId="16D9CBFF" w14:textId="67D5B321" w:rsidR="00D15887" w:rsidRDefault="0015379F" w:rsidP="00003C11">
      <w:pPr>
        <w:pStyle w:val="Titre1"/>
      </w:pPr>
      <w:bookmarkStart w:id="9" w:name="_Toc212732432"/>
      <w:r>
        <w:t>Proposition de calendrier de mise en oeuvre</w:t>
      </w:r>
      <w:bookmarkEnd w:id="9"/>
    </w:p>
    <w:p w14:paraId="32F11C6D" w14:textId="6B0CF43A" w:rsidR="0015379F" w:rsidRPr="00721BAE" w:rsidRDefault="0015379F" w:rsidP="0015379F">
      <w:r w:rsidRPr="00721BAE">
        <w:t xml:space="preserve">Validation de la proposition d’attribution du marché : </w:t>
      </w:r>
      <w:r w:rsidR="00721BAE" w:rsidRPr="00721BAE">
        <w:t>novembre 2025</w:t>
      </w:r>
    </w:p>
    <w:p w14:paraId="66DC403C" w14:textId="2F408D1A" w:rsidR="0015379F" w:rsidRPr="00721BAE" w:rsidRDefault="0015379F" w:rsidP="0015379F">
      <w:r w:rsidRPr="00721BAE">
        <w:t xml:space="preserve">Envoi des lettres de rejet : </w:t>
      </w:r>
      <w:r w:rsidR="00466E55" w:rsidRPr="00721BAE">
        <w:t>à</w:t>
      </w:r>
      <w:r w:rsidRPr="00721BAE">
        <w:t xml:space="preserve"> l’issue de la validation d’attribution du marché</w:t>
      </w:r>
    </w:p>
    <w:p w14:paraId="2A99384E" w14:textId="321956F7" w:rsidR="0015379F" w:rsidRPr="00721BAE" w:rsidRDefault="0015379F" w:rsidP="0015379F">
      <w:r w:rsidRPr="00721BAE">
        <w:t xml:space="preserve">Attribution du marché : </w:t>
      </w:r>
      <w:r w:rsidR="00466E55" w:rsidRPr="00721BAE">
        <w:t>à</w:t>
      </w:r>
      <w:r w:rsidRPr="00721BAE">
        <w:t xml:space="preserve"> l’issue du délai de </w:t>
      </w:r>
      <w:proofErr w:type="spellStart"/>
      <w:r w:rsidRPr="00721BAE">
        <w:t>standstill</w:t>
      </w:r>
      <w:proofErr w:type="spellEnd"/>
    </w:p>
    <w:p w14:paraId="5311E180" w14:textId="77777777" w:rsidR="0015379F" w:rsidRDefault="0015379F" w:rsidP="0015379F"/>
    <w:p w14:paraId="3FC365D3" w14:textId="7004CB2E" w:rsidR="00D15887" w:rsidRDefault="0015379F" w:rsidP="0015379F">
      <w:r>
        <w:t>Fait à Montreuil,</w:t>
      </w:r>
    </w:p>
    <w:p w14:paraId="3AE9D394" w14:textId="77777777" w:rsidR="00D15887" w:rsidRDefault="00D15887" w:rsidP="00D15887"/>
    <w:p w14:paraId="37669FEB" w14:textId="47DD6E44" w:rsidR="00D15887" w:rsidRPr="0032479C" w:rsidRDefault="0032479C" w:rsidP="004720AC">
      <w:pPr>
        <w:ind w:left="360"/>
        <w:jc w:val="right"/>
      </w:pPr>
      <w:r w:rsidRPr="0032479C">
        <w:t xml:space="preserve">Laurine </w:t>
      </w:r>
    </w:p>
    <w:p w14:paraId="7711DB53" w14:textId="77777777" w:rsidR="00D15887" w:rsidRDefault="00D15887" w:rsidP="004720AC">
      <w:pPr>
        <w:ind w:left="360"/>
        <w:jc w:val="right"/>
      </w:pPr>
      <w:r>
        <w:t>Responsable de Portefeuilles d’Achats</w:t>
      </w:r>
    </w:p>
    <w:sectPr w:rsidR="00D15887" w:rsidSect="006C1035">
      <w:headerReference w:type="default" r:id="rId13"/>
      <w:footerReference w:type="default" r:id="rId14"/>
      <w:footerReference w:type="first" r:id="rId15"/>
      <w:pgSz w:w="11906" w:h="16838"/>
      <w:pgMar w:top="1985" w:right="1417" w:bottom="1417" w:left="1417" w:header="708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DB8C6" w14:textId="77777777" w:rsidR="007F172E" w:rsidRDefault="007F172E" w:rsidP="002E0F69">
      <w:pPr>
        <w:spacing w:after="0" w:line="240" w:lineRule="auto"/>
      </w:pPr>
      <w:r>
        <w:separator/>
      </w:r>
    </w:p>
  </w:endnote>
  <w:endnote w:type="continuationSeparator" w:id="0">
    <w:p w14:paraId="345A53F8" w14:textId="77777777" w:rsidR="007F172E" w:rsidRDefault="007F172E" w:rsidP="002E0F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15"/>
    </w:tblGrid>
    <w:tr w:rsidR="00712665" w:rsidRPr="00EA32A2" w14:paraId="13A513E3" w14:textId="77777777" w:rsidTr="00E41C06">
      <w:tc>
        <w:tcPr>
          <w:tcW w:w="6515" w:type="dxa"/>
          <w:vAlign w:val="center"/>
        </w:tcPr>
        <w:p w14:paraId="3C9DFAA3" w14:textId="79BEE354" w:rsidR="00712665" w:rsidRPr="001B4AC6" w:rsidRDefault="00712665" w:rsidP="00712665">
          <w:pPr>
            <w:pStyle w:val="Pieddepage"/>
            <w:jc w:val="left"/>
            <w:rPr>
              <w:b/>
              <w:bCs/>
              <w:color w:val="86B625" w:themeColor="accent1"/>
              <w:lang w:val="en-US"/>
            </w:rPr>
          </w:pPr>
          <w:proofErr w:type="spellStart"/>
          <w:r w:rsidRPr="001B4AC6">
            <w:rPr>
              <w:b/>
              <w:bCs/>
              <w:color w:val="86B625" w:themeColor="accent1"/>
              <w:lang w:val="en-US"/>
            </w:rPr>
            <w:t>Afpa</w:t>
          </w:r>
          <w:proofErr w:type="spellEnd"/>
          <w:r w:rsidRPr="001B4AC6">
            <w:rPr>
              <w:b/>
              <w:bCs/>
              <w:color w:val="86B625" w:themeColor="accent1"/>
              <w:lang w:val="en-US"/>
            </w:rPr>
            <w:t xml:space="preserve"> </w:t>
          </w:r>
          <w:r w:rsidRPr="00721BAE">
            <w:rPr>
              <w:b/>
              <w:bCs/>
              <w:color w:val="86B625" w:themeColor="accent1"/>
              <w:lang w:val="en-US"/>
            </w:rPr>
            <w:sym w:font="Symbol" w:char="F0B7"/>
          </w:r>
          <w:r w:rsidRPr="001B4AC6">
            <w:rPr>
              <w:b/>
              <w:bCs/>
              <w:color w:val="86B625" w:themeColor="accent1"/>
              <w:lang w:val="en-US"/>
            </w:rPr>
            <w:t xml:space="preserve">  </w:t>
          </w:r>
          <w:r w:rsidR="001B4AC6" w:rsidRPr="00721BAE">
            <w:rPr>
              <w:b/>
              <w:bCs/>
              <w:color w:val="86B625" w:themeColor="accent1"/>
              <w:lang w:val="en-US"/>
            </w:rPr>
            <w:t>25006_AOO_TMA-EPM_LAY</w:t>
          </w:r>
        </w:p>
      </w:tc>
    </w:tr>
  </w:tbl>
  <w:p w14:paraId="3EF8A8AF" w14:textId="77777777" w:rsidR="00712665" w:rsidRDefault="00712665">
    <w:pPr>
      <w:pStyle w:val="Pieddepage"/>
    </w:pPr>
    <w:r>
      <w:rPr>
        <w:noProof/>
      </w:rPr>
      <mc:AlternateContent>
        <mc:Choice Requires="wps">
          <w:drawing>
            <wp:anchor distT="45720" distB="45720" distL="114300" distR="114300" simplePos="0" relativeHeight="251680768" behindDoc="0" locked="0" layoutInCell="1" allowOverlap="1" wp14:anchorId="79C25686" wp14:editId="2F7E5BCD">
              <wp:simplePos x="0" y="0"/>
              <wp:positionH relativeFrom="column">
                <wp:posOffset>5468348</wp:posOffset>
              </wp:positionH>
              <wp:positionV relativeFrom="paragraph">
                <wp:posOffset>-221978</wp:posOffset>
              </wp:positionV>
              <wp:extent cx="955040" cy="626292"/>
              <wp:effectExtent l="0" t="0" r="0" b="2540"/>
              <wp:wrapNone/>
              <wp:docPr id="85947295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5040" cy="626292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1B185ED" w14:textId="77777777" w:rsidR="00712665" w:rsidRPr="00574A6E" w:rsidRDefault="00712665" w:rsidP="00A708D8">
                          <w:pPr>
                            <w:pStyle w:val="numpage"/>
                          </w:pPr>
                          <w:r w:rsidRPr="00574A6E">
                            <w:fldChar w:fldCharType="begin"/>
                          </w:r>
                          <w:r w:rsidRPr="00574A6E">
                            <w:instrText>PAGE   \* MERGEFORMAT</w:instrText>
                          </w:r>
                          <w:r w:rsidRPr="00574A6E">
                            <w:fldChar w:fldCharType="separate"/>
                          </w:r>
                          <w:r w:rsidRPr="00574A6E">
                            <w:t>1</w:t>
                          </w:r>
                          <w:r w:rsidRPr="00574A6E"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C25686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left:0;text-align:left;margin-left:430.6pt;margin-top:-17.5pt;width:75.2pt;height:49.3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" filled="f" stroked="f">
              <v:textbox>
                <w:txbxContent>
                  <w:p w14:paraId="41B185ED" w14:textId="77777777" w:rsidR="00712665" w:rsidRPr="00574A6E" w:rsidRDefault="00712665" w:rsidP="00A708D8">
                    <w:pPr>
                      <w:pStyle w:val="numpage"/>
                    </w:pPr>
                    <w:r w:rsidRPr="00574A6E">
                      <w:fldChar w:fldCharType="begin"/>
                    </w:r>
                    <w:r w:rsidRPr="00574A6E">
                      <w:instrText>PAGE   \* MERGEFORMAT</w:instrText>
                    </w:r>
                    <w:r w:rsidRPr="00574A6E">
                      <w:fldChar w:fldCharType="separate"/>
                    </w:r>
                    <w:r w:rsidRPr="00574A6E">
                      <w:t>1</w:t>
                    </w:r>
                    <w:r w:rsidRPr="00574A6E"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81792" behindDoc="1" locked="0" layoutInCell="1" allowOverlap="1" wp14:anchorId="1D948A89" wp14:editId="6693730C">
          <wp:simplePos x="0" y="0"/>
          <wp:positionH relativeFrom="column">
            <wp:posOffset>5619750</wp:posOffset>
          </wp:positionH>
          <wp:positionV relativeFrom="paragraph">
            <wp:posOffset>-412750</wp:posOffset>
          </wp:positionV>
          <wp:extent cx="693420" cy="693420"/>
          <wp:effectExtent l="0" t="0" r="0" b="0"/>
          <wp:wrapNone/>
          <wp:docPr id="647485898" name="Image 9" descr="Une image contenant cercl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422298" name="Image 9" descr="Une image contenant cercle&#10;&#10;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693420" cy="693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dotDash" w:sz="4" w:space="0" w:color="A3A3A3"/>
        <w:left w:val="dotDash" w:sz="4" w:space="0" w:color="A3A3A3"/>
        <w:bottom w:val="dotDash" w:sz="4" w:space="0" w:color="A3A3A3"/>
        <w:right w:val="dotDash" w:sz="4" w:space="0" w:color="A3A3A3"/>
        <w:insideH w:val="dotDash" w:sz="4" w:space="0" w:color="A3A3A3"/>
        <w:insideV w:val="dotDash" w:sz="4" w:space="0" w:color="A3A3A3"/>
      </w:tblBorders>
      <w:tblCellMar>
        <w:left w:w="0" w:type="dxa"/>
        <w:right w:w="0" w:type="dxa"/>
      </w:tblCellMar>
      <w:tblLook w:val="04A0" w:firstRow="1" w:lastRow="0" w:firstColumn="1" w:lastColumn="0" w:noHBand="0" w:noVBand="1"/>
      <w:tblCaption w:val=""/>
      <w:tblDescription w:val=""/>
    </w:tblPr>
    <w:tblGrid>
      <w:gridCol w:w="5204"/>
      <w:gridCol w:w="3858"/>
    </w:tblGrid>
    <w:tr w:rsidR="006C1035" w:rsidRPr="00FC6574" w14:paraId="5D8E666B" w14:textId="77777777" w:rsidTr="006C1035">
      <w:trPr>
        <w:trHeight w:val="96"/>
      </w:trPr>
      <w:tc>
        <w:tcPr>
          <w:tcW w:w="5292" w:type="dxa"/>
          <w:tcMar>
            <w:top w:w="80" w:type="dxa"/>
            <w:left w:w="80" w:type="dxa"/>
            <w:bottom w:w="80" w:type="dxa"/>
            <w:right w:w="80" w:type="dxa"/>
          </w:tcMar>
          <w:hideMark/>
        </w:tcPr>
        <w:p w14:paraId="1EF20AE3" w14:textId="77777777" w:rsidR="006C1035" w:rsidRPr="006C1035" w:rsidRDefault="006C1035" w:rsidP="006C1035">
          <w:pPr>
            <w:spacing w:after="0"/>
            <w:jc w:val="left"/>
            <w:rPr>
              <w:rFonts w:eastAsia="Times New Roman" w:cs="Calibri"/>
              <w:sz w:val="20"/>
              <w:szCs w:val="20"/>
              <w:lang w:eastAsia="fr-FR"/>
            </w:rPr>
          </w:pPr>
          <w:r w:rsidRPr="006C1035">
            <w:rPr>
              <w:rFonts w:eastAsia="Times New Roman" w:cs="Calibri"/>
              <w:sz w:val="20"/>
              <w:szCs w:val="20"/>
              <w:lang w:eastAsia="fr-FR"/>
            </w:rPr>
            <w:t>Document</w:t>
          </w:r>
        </w:p>
      </w:tc>
      <w:tc>
        <w:tcPr>
          <w:tcW w:w="3914" w:type="dxa"/>
          <w:tcMar>
            <w:top w:w="80" w:type="dxa"/>
            <w:left w:w="80" w:type="dxa"/>
            <w:bottom w:w="80" w:type="dxa"/>
            <w:right w:w="80" w:type="dxa"/>
          </w:tcMar>
          <w:hideMark/>
        </w:tcPr>
        <w:p w14:paraId="469858AB" w14:textId="5903DC2B" w:rsidR="006C1035" w:rsidRPr="006C1035" w:rsidRDefault="00C042EC" w:rsidP="006C1035">
          <w:pPr>
            <w:spacing w:after="0"/>
            <w:jc w:val="left"/>
            <w:rPr>
              <w:rFonts w:eastAsia="Times New Roman" w:cs="Calibri"/>
              <w:sz w:val="20"/>
              <w:szCs w:val="20"/>
              <w:lang w:eastAsia="fr-FR"/>
            </w:rPr>
          </w:pPr>
          <w:r>
            <w:rPr>
              <w:rFonts w:eastAsia="Times New Roman" w:cs="Calibri"/>
              <w:sz w:val="20"/>
              <w:szCs w:val="20"/>
              <w:lang w:eastAsia="fr-FR"/>
            </w:rPr>
            <w:t>Rapport de Présentation RP</w:t>
          </w:r>
        </w:p>
      </w:tc>
    </w:tr>
    <w:tr w:rsidR="006C1035" w:rsidRPr="00FC6574" w14:paraId="6CD7662D" w14:textId="77777777" w:rsidTr="006C1035">
      <w:trPr>
        <w:trHeight w:val="103"/>
      </w:trPr>
      <w:tc>
        <w:tcPr>
          <w:tcW w:w="5292" w:type="dxa"/>
          <w:tcMar>
            <w:top w:w="80" w:type="dxa"/>
            <w:left w:w="80" w:type="dxa"/>
            <w:bottom w:w="80" w:type="dxa"/>
            <w:right w:w="80" w:type="dxa"/>
          </w:tcMar>
          <w:hideMark/>
        </w:tcPr>
        <w:p w14:paraId="3AFC0FF5" w14:textId="77777777" w:rsidR="006C1035" w:rsidRPr="006C1035" w:rsidRDefault="006C1035" w:rsidP="006C1035">
          <w:pPr>
            <w:spacing w:after="0"/>
            <w:jc w:val="left"/>
            <w:rPr>
              <w:rFonts w:eastAsia="Times New Roman" w:cs="Calibri"/>
              <w:sz w:val="20"/>
              <w:szCs w:val="20"/>
              <w:lang w:eastAsia="fr-FR"/>
            </w:rPr>
          </w:pPr>
          <w:r w:rsidRPr="006C1035">
            <w:rPr>
              <w:rFonts w:eastAsia="Times New Roman" w:cs="Calibri"/>
              <w:sz w:val="20"/>
              <w:szCs w:val="20"/>
              <w:lang w:eastAsia="fr-FR"/>
            </w:rPr>
            <w:t>Document créé sur la base du modèle version</w:t>
          </w:r>
        </w:p>
      </w:tc>
      <w:tc>
        <w:tcPr>
          <w:tcW w:w="3914" w:type="dxa"/>
          <w:tcMar>
            <w:top w:w="80" w:type="dxa"/>
            <w:left w:w="80" w:type="dxa"/>
            <w:bottom w:w="80" w:type="dxa"/>
            <w:right w:w="80" w:type="dxa"/>
          </w:tcMar>
          <w:hideMark/>
        </w:tcPr>
        <w:p w14:paraId="72FCF1DB" w14:textId="3A31D032" w:rsidR="006C1035" w:rsidRPr="006C1035" w:rsidRDefault="006D6EC1" w:rsidP="006C1035">
          <w:pPr>
            <w:spacing w:after="0"/>
            <w:jc w:val="left"/>
            <w:rPr>
              <w:rFonts w:eastAsia="Times New Roman" w:cs="Calibri"/>
              <w:sz w:val="20"/>
              <w:szCs w:val="20"/>
              <w:lang w:eastAsia="fr-FR"/>
            </w:rPr>
          </w:pPr>
          <w:r>
            <w:rPr>
              <w:rFonts w:eastAsia="Times New Roman" w:cs="Calibri"/>
              <w:sz w:val="20"/>
              <w:szCs w:val="20"/>
              <w:lang w:eastAsia="fr-FR"/>
            </w:rPr>
            <w:t>3</w:t>
          </w:r>
        </w:p>
      </w:tc>
    </w:tr>
    <w:tr w:rsidR="006C1035" w:rsidRPr="00FC6574" w14:paraId="1A362523" w14:textId="77777777" w:rsidTr="006C1035">
      <w:trPr>
        <w:trHeight w:val="96"/>
      </w:trPr>
      <w:tc>
        <w:tcPr>
          <w:tcW w:w="5292" w:type="dxa"/>
          <w:tcMar>
            <w:top w:w="80" w:type="dxa"/>
            <w:left w:w="80" w:type="dxa"/>
            <w:bottom w:w="80" w:type="dxa"/>
            <w:right w:w="80" w:type="dxa"/>
          </w:tcMar>
          <w:hideMark/>
        </w:tcPr>
        <w:p w14:paraId="1E77C3DC" w14:textId="77777777" w:rsidR="006C1035" w:rsidRPr="006C1035" w:rsidRDefault="006C1035" w:rsidP="006C1035">
          <w:pPr>
            <w:spacing w:after="0"/>
            <w:jc w:val="left"/>
            <w:rPr>
              <w:rFonts w:eastAsia="Times New Roman" w:cs="Calibri"/>
              <w:sz w:val="20"/>
              <w:szCs w:val="20"/>
              <w:lang w:eastAsia="fr-FR"/>
            </w:rPr>
          </w:pPr>
          <w:r w:rsidRPr="006C1035">
            <w:rPr>
              <w:rFonts w:eastAsia="Times New Roman" w:cs="Calibri"/>
              <w:sz w:val="20"/>
              <w:szCs w:val="20"/>
              <w:lang w:eastAsia="fr-FR"/>
            </w:rPr>
            <w:t>Modèle mis à jour le</w:t>
          </w:r>
        </w:p>
      </w:tc>
      <w:tc>
        <w:tcPr>
          <w:tcW w:w="3914" w:type="dxa"/>
          <w:tcMar>
            <w:top w:w="80" w:type="dxa"/>
            <w:left w:w="80" w:type="dxa"/>
            <w:bottom w:w="80" w:type="dxa"/>
            <w:right w:w="80" w:type="dxa"/>
          </w:tcMar>
          <w:hideMark/>
        </w:tcPr>
        <w:p w14:paraId="73A19DF8" w14:textId="1CA377EF" w:rsidR="006C1035" w:rsidRPr="006C1035" w:rsidRDefault="006D6EC1" w:rsidP="006C1035">
          <w:pPr>
            <w:spacing w:after="0"/>
            <w:jc w:val="left"/>
            <w:rPr>
              <w:rFonts w:eastAsia="Times New Roman" w:cs="Calibri"/>
              <w:sz w:val="20"/>
              <w:szCs w:val="20"/>
              <w:lang w:eastAsia="fr-FR"/>
            </w:rPr>
          </w:pPr>
          <w:r>
            <w:rPr>
              <w:rFonts w:eastAsia="Times New Roman" w:cs="Calibri"/>
              <w:sz w:val="20"/>
              <w:szCs w:val="20"/>
              <w:lang w:eastAsia="fr-FR"/>
            </w:rPr>
            <w:t>03/09/2025</w:t>
          </w:r>
        </w:p>
      </w:tc>
    </w:tr>
    <w:tr w:rsidR="006C1035" w:rsidRPr="00FC6574" w14:paraId="7629398A" w14:textId="77777777" w:rsidTr="006C1035">
      <w:trPr>
        <w:trHeight w:val="91"/>
      </w:trPr>
      <w:tc>
        <w:tcPr>
          <w:tcW w:w="5292" w:type="dxa"/>
          <w:tcMar>
            <w:top w:w="80" w:type="dxa"/>
            <w:left w:w="80" w:type="dxa"/>
            <w:bottom w:w="80" w:type="dxa"/>
            <w:right w:w="80" w:type="dxa"/>
          </w:tcMar>
          <w:hideMark/>
        </w:tcPr>
        <w:p w14:paraId="2A3B74E0" w14:textId="77777777" w:rsidR="006C1035" w:rsidRPr="006C1035" w:rsidRDefault="006C1035" w:rsidP="006C1035">
          <w:pPr>
            <w:spacing w:after="0"/>
            <w:jc w:val="left"/>
            <w:rPr>
              <w:rFonts w:eastAsia="Times New Roman" w:cs="Calibri"/>
              <w:sz w:val="20"/>
              <w:szCs w:val="20"/>
              <w:lang w:eastAsia="fr-FR"/>
            </w:rPr>
          </w:pPr>
          <w:r w:rsidRPr="006C1035">
            <w:rPr>
              <w:rFonts w:eastAsia="Times New Roman" w:cs="Calibri"/>
              <w:sz w:val="20"/>
              <w:szCs w:val="20"/>
              <w:lang w:eastAsia="fr-FR"/>
            </w:rPr>
            <w:t>Auteur du modèle</w:t>
          </w:r>
        </w:p>
      </w:tc>
      <w:tc>
        <w:tcPr>
          <w:tcW w:w="3914" w:type="dxa"/>
          <w:tcMar>
            <w:top w:w="80" w:type="dxa"/>
            <w:left w:w="80" w:type="dxa"/>
            <w:bottom w:w="80" w:type="dxa"/>
            <w:right w:w="80" w:type="dxa"/>
          </w:tcMar>
          <w:hideMark/>
        </w:tcPr>
        <w:p w14:paraId="45FF81F4" w14:textId="65364AB8" w:rsidR="006C1035" w:rsidRPr="006C1035" w:rsidRDefault="004720AC" w:rsidP="006C1035">
          <w:pPr>
            <w:spacing w:after="0"/>
            <w:jc w:val="left"/>
            <w:rPr>
              <w:rFonts w:eastAsia="Times New Roman" w:cs="Calibri"/>
              <w:sz w:val="20"/>
              <w:szCs w:val="20"/>
              <w:lang w:eastAsia="fr-FR"/>
            </w:rPr>
          </w:pPr>
          <w:r>
            <w:rPr>
              <w:rFonts w:eastAsia="Times New Roman" w:cs="Calibri"/>
              <w:sz w:val="20"/>
              <w:szCs w:val="20"/>
              <w:lang w:eastAsia="fr-FR"/>
            </w:rPr>
            <w:t>DNA</w:t>
          </w:r>
        </w:p>
      </w:tc>
    </w:tr>
  </w:tbl>
  <w:p w14:paraId="26916369" w14:textId="77777777" w:rsidR="006C1035" w:rsidRDefault="006C103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96C0C" w14:textId="77777777" w:rsidR="007F172E" w:rsidRDefault="007F172E" w:rsidP="002E0F69">
      <w:pPr>
        <w:spacing w:after="0" w:line="240" w:lineRule="auto"/>
      </w:pPr>
      <w:r>
        <w:separator/>
      </w:r>
    </w:p>
  </w:footnote>
  <w:footnote w:type="continuationSeparator" w:id="0">
    <w:p w14:paraId="2773658E" w14:textId="77777777" w:rsidR="007F172E" w:rsidRDefault="007F172E" w:rsidP="002E0F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1"/>
      <w:gridCol w:w="4531"/>
    </w:tblGrid>
    <w:tr w:rsidR="00712665" w14:paraId="578B9955" w14:textId="77777777" w:rsidTr="00E41C06">
      <w:tc>
        <w:tcPr>
          <w:tcW w:w="4531" w:type="dxa"/>
          <w:vAlign w:val="bottom"/>
        </w:tcPr>
        <w:p w14:paraId="31468123" w14:textId="27854C5F" w:rsidR="00712665" w:rsidRPr="00AE772E" w:rsidRDefault="00AE772E" w:rsidP="00A708D8">
          <w:pPr>
            <w:pStyle w:val="En-tte"/>
            <w:rPr>
              <w:b/>
              <w:bCs/>
            </w:rPr>
          </w:pPr>
          <w:r w:rsidRPr="00AE772E">
            <w:rPr>
              <w:b/>
              <w:bCs/>
            </w:rPr>
            <w:t>Rapport de présentation</w:t>
          </w:r>
        </w:p>
        <w:p w14:paraId="78D4F5A0" w14:textId="77777777" w:rsidR="00712665" w:rsidRDefault="00712665" w:rsidP="00A708D8">
          <w:pPr>
            <w:pStyle w:val="En-tte"/>
          </w:pPr>
        </w:p>
      </w:tc>
      <w:tc>
        <w:tcPr>
          <w:tcW w:w="4531" w:type="dxa"/>
        </w:tcPr>
        <w:p w14:paraId="1CDFFA22" w14:textId="77777777" w:rsidR="00712665" w:rsidRDefault="00712665" w:rsidP="00DC3323">
          <w:pPr>
            <w:pStyle w:val="En-tte"/>
            <w:jc w:val="right"/>
          </w:pPr>
          <w:r>
            <w:rPr>
              <w:noProof/>
            </w:rPr>
            <w:drawing>
              <wp:inline distT="0" distB="0" distL="0" distR="0" wp14:anchorId="17CDAC7C" wp14:editId="485ED947">
                <wp:extent cx="1051542" cy="548374"/>
                <wp:effectExtent l="0" t="0" r="0" b="4445"/>
                <wp:docPr id="65218996" name="Image 3" descr="LOGO AFPA VERT PNG - Alternance Professionnel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AFPA VERT PNG - Alternance Professionnell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3752" cy="5547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1862773" w14:textId="77777777" w:rsidR="00712665" w:rsidRDefault="00712665" w:rsidP="00A708D8">
    <w:pPr>
      <w:pStyle w:val="En-tte"/>
    </w:pPr>
  </w:p>
  <w:p w14:paraId="32A42AE3" w14:textId="77777777" w:rsidR="00F016C9" w:rsidRDefault="00F016C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26.6pt;height:426.6pt" o:bullet="t">
        <v:imagedata r:id="rId1" o:title="Forme 2 - citron"/>
      </v:shape>
    </w:pict>
  </w:numPicBullet>
  <w:numPicBullet w:numPicBulletId="1">
    <w:pict>
      <v:shape id="_x0000_i1026" type="#_x0000_t75" style="width:426.6pt;height:426pt" o:bullet="t">
        <v:imagedata r:id="rId2" o:title="Forme 1 - bulle"/>
      </v:shape>
    </w:pict>
  </w:numPicBullet>
  <w:numPicBullet w:numPicBulletId="2">
    <w:pict>
      <v:shape id="_x0000_i1027" type="#_x0000_t75" style="width:426.6pt;height:426.6pt" o:bullet="t">
        <v:imagedata r:id="rId3" o:title="Forme 4 - camembert"/>
      </v:shape>
    </w:pict>
  </w:numPicBullet>
  <w:numPicBullet w:numPicBulletId="3">
    <w:pict>
      <v:shape id="_x0000_i1028" type="#_x0000_t75" style="width:426.6pt;height:426pt" o:bullet="t">
        <v:imagedata r:id="rId4" o:title="Forme 3 - D"/>
      </v:shape>
    </w:pict>
  </w:numPicBullet>
  <w:abstractNum w:abstractNumId="0" w15:restartNumberingAfterBreak="0">
    <w:nsid w:val="2A716E45"/>
    <w:multiLevelType w:val="multilevel"/>
    <w:tmpl w:val="ECC85496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sz w:val="56"/>
        <w:szCs w:val="56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0904721"/>
    <w:multiLevelType w:val="hybridMultilevel"/>
    <w:tmpl w:val="B74215F8"/>
    <w:lvl w:ilvl="0" w:tplc="69C06A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4D2238"/>
    <w:multiLevelType w:val="hybridMultilevel"/>
    <w:tmpl w:val="783878AC"/>
    <w:lvl w:ilvl="0" w:tplc="36EEB4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6B625" w:themeColor="accen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BCF68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53CE5FD4"/>
    <w:multiLevelType w:val="hybridMultilevel"/>
    <w:tmpl w:val="21AC0A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2D6946"/>
    <w:multiLevelType w:val="hybridMultilevel"/>
    <w:tmpl w:val="D8E4413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094332"/>
    <w:multiLevelType w:val="hybridMultilevel"/>
    <w:tmpl w:val="9B8613BA"/>
    <w:lvl w:ilvl="0" w:tplc="F9329A0E">
      <w:start w:val="1"/>
      <w:numFmt w:val="bullet"/>
      <w:pStyle w:val="PuceCamember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  <w:sz w:val="20"/>
        <w:szCs w:val="22"/>
      </w:rPr>
    </w:lvl>
    <w:lvl w:ilvl="1" w:tplc="412EE896">
      <w:start w:val="1"/>
      <w:numFmt w:val="bullet"/>
      <w:pStyle w:val="PuceD"/>
      <w:lvlText w:val=""/>
      <w:lvlPicBulletId w:val="3"/>
      <w:lvlJc w:val="left"/>
      <w:pPr>
        <w:ind w:left="1440" w:hanging="360"/>
      </w:pPr>
      <w:rPr>
        <w:rFonts w:ascii="Symbol" w:hAnsi="Symbol" w:hint="default"/>
        <w:color w:val="auto"/>
        <w:sz w:val="20"/>
        <w:szCs w:val="22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895715">
    <w:abstractNumId w:val="0"/>
  </w:num>
  <w:num w:numId="2" w16cid:durableId="1811171648">
    <w:abstractNumId w:val="4"/>
  </w:num>
  <w:num w:numId="3" w16cid:durableId="2116971692">
    <w:abstractNumId w:val="1"/>
  </w:num>
  <w:num w:numId="4" w16cid:durableId="1705981329">
    <w:abstractNumId w:val="2"/>
  </w:num>
  <w:num w:numId="5" w16cid:durableId="408771118">
    <w:abstractNumId w:val="6"/>
  </w:num>
  <w:num w:numId="6" w16cid:durableId="1152872312">
    <w:abstractNumId w:val="0"/>
  </w:num>
  <w:num w:numId="7" w16cid:durableId="609358040">
    <w:abstractNumId w:val="5"/>
  </w:num>
  <w:num w:numId="8" w16cid:durableId="3708870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887"/>
    <w:rsid w:val="00003C11"/>
    <w:rsid w:val="000043ED"/>
    <w:rsid w:val="0000483A"/>
    <w:rsid w:val="00011987"/>
    <w:rsid w:val="0002138D"/>
    <w:rsid w:val="00033CF1"/>
    <w:rsid w:val="00052A50"/>
    <w:rsid w:val="00065261"/>
    <w:rsid w:val="00066376"/>
    <w:rsid w:val="0007359A"/>
    <w:rsid w:val="00085B1A"/>
    <w:rsid w:val="000A0AC9"/>
    <w:rsid w:val="000A5AAE"/>
    <w:rsid w:val="000B28A2"/>
    <w:rsid w:val="000C49A2"/>
    <w:rsid w:val="000D18E4"/>
    <w:rsid w:val="000D4462"/>
    <w:rsid w:val="000E02BF"/>
    <w:rsid w:val="000E0D1E"/>
    <w:rsid w:val="0010214B"/>
    <w:rsid w:val="00105526"/>
    <w:rsid w:val="0015379F"/>
    <w:rsid w:val="00167428"/>
    <w:rsid w:val="00177A41"/>
    <w:rsid w:val="00177EF7"/>
    <w:rsid w:val="00182C6C"/>
    <w:rsid w:val="00183E60"/>
    <w:rsid w:val="001B1EDC"/>
    <w:rsid w:val="001B4AC6"/>
    <w:rsid w:val="001B60D6"/>
    <w:rsid w:val="001B7332"/>
    <w:rsid w:val="001C5DD2"/>
    <w:rsid w:val="001E3BB8"/>
    <w:rsid w:val="001E7EF1"/>
    <w:rsid w:val="00200CC8"/>
    <w:rsid w:val="002131FA"/>
    <w:rsid w:val="00213FBC"/>
    <w:rsid w:val="0022151F"/>
    <w:rsid w:val="002235BD"/>
    <w:rsid w:val="00257D1F"/>
    <w:rsid w:val="0026760B"/>
    <w:rsid w:val="00270462"/>
    <w:rsid w:val="00276510"/>
    <w:rsid w:val="00280641"/>
    <w:rsid w:val="002807A1"/>
    <w:rsid w:val="00291E8E"/>
    <w:rsid w:val="002B6294"/>
    <w:rsid w:val="002D0A5E"/>
    <w:rsid w:val="002D4D39"/>
    <w:rsid w:val="002E0F69"/>
    <w:rsid w:val="002E2C36"/>
    <w:rsid w:val="002F2C23"/>
    <w:rsid w:val="00317E73"/>
    <w:rsid w:val="0032479C"/>
    <w:rsid w:val="003441D0"/>
    <w:rsid w:val="0037054A"/>
    <w:rsid w:val="00376572"/>
    <w:rsid w:val="00387915"/>
    <w:rsid w:val="00387BEC"/>
    <w:rsid w:val="003961AD"/>
    <w:rsid w:val="00397EFE"/>
    <w:rsid w:val="003A7CB7"/>
    <w:rsid w:val="003D2199"/>
    <w:rsid w:val="003D71C9"/>
    <w:rsid w:val="003E5F74"/>
    <w:rsid w:val="00417E46"/>
    <w:rsid w:val="00437762"/>
    <w:rsid w:val="00466E55"/>
    <w:rsid w:val="004720AC"/>
    <w:rsid w:val="004D7464"/>
    <w:rsid w:val="005312EE"/>
    <w:rsid w:val="0054170B"/>
    <w:rsid w:val="00564899"/>
    <w:rsid w:val="005650A4"/>
    <w:rsid w:val="00570F38"/>
    <w:rsid w:val="00574A6E"/>
    <w:rsid w:val="00576C42"/>
    <w:rsid w:val="005A5C2F"/>
    <w:rsid w:val="005A6288"/>
    <w:rsid w:val="005B1F73"/>
    <w:rsid w:val="005B5887"/>
    <w:rsid w:val="005B5BDC"/>
    <w:rsid w:val="005C688D"/>
    <w:rsid w:val="005E1B4A"/>
    <w:rsid w:val="00623F80"/>
    <w:rsid w:val="0065661F"/>
    <w:rsid w:val="0067172F"/>
    <w:rsid w:val="00683B5F"/>
    <w:rsid w:val="006C1035"/>
    <w:rsid w:val="006C4866"/>
    <w:rsid w:val="006D0823"/>
    <w:rsid w:val="006D27D5"/>
    <w:rsid w:val="006D59FF"/>
    <w:rsid w:val="006D5A01"/>
    <w:rsid w:val="006D6EC1"/>
    <w:rsid w:val="006E53CB"/>
    <w:rsid w:val="006F65DD"/>
    <w:rsid w:val="00707B62"/>
    <w:rsid w:val="00712665"/>
    <w:rsid w:val="00721BAE"/>
    <w:rsid w:val="00730D99"/>
    <w:rsid w:val="00733EAD"/>
    <w:rsid w:val="00737347"/>
    <w:rsid w:val="007428A5"/>
    <w:rsid w:val="0076286F"/>
    <w:rsid w:val="0077049A"/>
    <w:rsid w:val="00772022"/>
    <w:rsid w:val="007B4E78"/>
    <w:rsid w:val="007C3777"/>
    <w:rsid w:val="007C3F04"/>
    <w:rsid w:val="007D4F5C"/>
    <w:rsid w:val="007E24A7"/>
    <w:rsid w:val="007F172E"/>
    <w:rsid w:val="007F5BD6"/>
    <w:rsid w:val="008147EF"/>
    <w:rsid w:val="0083113A"/>
    <w:rsid w:val="00832D9D"/>
    <w:rsid w:val="0085195D"/>
    <w:rsid w:val="00874C83"/>
    <w:rsid w:val="00877851"/>
    <w:rsid w:val="008D4523"/>
    <w:rsid w:val="008D618A"/>
    <w:rsid w:val="008E78A4"/>
    <w:rsid w:val="009074F2"/>
    <w:rsid w:val="00912B82"/>
    <w:rsid w:val="00915B9C"/>
    <w:rsid w:val="00921FE0"/>
    <w:rsid w:val="00923E65"/>
    <w:rsid w:val="009323A4"/>
    <w:rsid w:val="00944FC2"/>
    <w:rsid w:val="00945422"/>
    <w:rsid w:val="00945EB7"/>
    <w:rsid w:val="00950FCD"/>
    <w:rsid w:val="00975246"/>
    <w:rsid w:val="009B5AC0"/>
    <w:rsid w:val="009E3DC6"/>
    <w:rsid w:val="00A13324"/>
    <w:rsid w:val="00A1759C"/>
    <w:rsid w:val="00A43BF0"/>
    <w:rsid w:val="00A50B14"/>
    <w:rsid w:val="00A65F48"/>
    <w:rsid w:val="00A708D8"/>
    <w:rsid w:val="00A72410"/>
    <w:rsid w:val="00A76CF0"/>
    <w:rsid w:val="00A96451"/>
    <w:rsid w:val="00A96B26"/>
    <w:rsid w:val="00AB1AB6"/>
    <w:rsid w:val="00AD5EC3"/>
    <w:rsid w:val="00AE772E"/>
    <w:rsid w:val="00AF7DFE"/>
    <w:rsid w:val="00B02AD9"/>
    <w:rsid w:val="00B05214"/>
    <w:rsid w:val="00B11779"/>
    <w:rsid w:val="00B41FE3"/>
    <w:rsid w:val="00B45D51"/>
    <w:rsid w:val="00B46564"/>
    <w:rsid w:val="00B624D1"/>
    <w:rsid w:val="00B76D07"/>
    <w:rsid w:val="00B85266"/>
    <w:rsid w:val="00BA0C54"/>
    <w:rsid w:val="00BD65FE"/>
    <w:rsid w:val="00BD6C89"/>
    <w:rsid w:val="00BF63E0"/>
    <w:rsid w:val="00C03C1E"/>
    <w:rsid w:val="00C042EC"/>
    <w:rsid w:val="00C240D1"/>
    <w:rsid w:val="00C3710D"/>
    <w:rsid w:val="00C54DAF"/>
    <w:rsid w:val="00C562D4"/>
    <w:rsid w:val="00C644EF"/>
    <w:rsid w:val="00C65E11"/>
    <w:rsid w:val="00C8576C"/>
    <w:rsid w:val="00CA2DE1"/>
    <w:rsid w:val="00CB6F2E"/>
    <w:rsid w:val="00CB7E25"/>
    <w:rsid w:val="00CE1C20"/>
    <w:rsid w:val="00D0302E"/>
    <w:rsid w:val="00D1386C"/>
    <w:rsid w:val="00D15887"/>
    <w:rsid w:val="00D47ECA"/>
    <w:rsid w:val="00D64E20"/>
    <w:rsid w:val="00D81281"/>
    <w:rsid w:val="00D8679E"/>
    <w:rsid w:val="00D90441"/>
    <w:rsid w:val="00D91D0B"/>
    <w:rsid w:val="00DC3323"/>
    <w:rsid w:val="00DC78FA"/>
    <w:rsid w:val="00DD2701"/>
    <w:rsid w:val="00DD71EB"/>
    <w:rsid w:val="00E020E6"/>
    <w:rsid w:val="00E11327"/>
    <w:rsid w:val="00E31FA9"/>
    <w:rsid w:val="00E366F1"/>
    <w:rsid w:val="00E36B76"/>
    <w:rsid w:val="00E42ABA"/>
    <w:rsid w:val="00E475A2"/>
    <w:rsid w:val="00E75B7A"/>
    <w:rsid w:val="00EA32A2"/>
    <w:rsid w:val="00EC2C5D"/>
    <w:rsid w:val="00ED35B9"/>
    <w:rsid w:val="00ED7B3D"/>
    <w:rsid w:val="00EF15C1"/>
    <w:rsid w:val="00F016C9"/>
    <w:rsid w:val="00F018C9"/>
    <w:rsid w:val="00F120CF"/>
    <w:rsid w:val="00F16E8C"/>
    <w:rsid w:val="00F44E6A"/>
    <w:rsid w:val="00F85D97"/>
    <w:rsid w:val="00F9001A"/>
    <w:rsid w:val="00F91006"/>
    <w:rsid w:val="00FA37F9"/>
    <w:rsid w:val="00FB681B"/>
    <w:rsid w:val="00FD0681"/>
    <w:rsid w:val="00FE6756"/>
    <w:rsid w:val="00FF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4BC057"/>
  <w15:chartTrackingRefBased/>
  <w15:docId w15:val="{5B43C72E-B750-40BF-9496-51D9DD767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EAD"/>
    <w:pPr>
      <w:jc w:val="both"/>
    </w:pPr>
    <w:rPr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D47ECA"/>
    <w:pPr>
      <w:keepNext/>
      <w:keepLines/>
      <w:numPr>
        <w:numId w:val="1"/>
      </w:numPr>
      <w:shd w:val="clear" w:color="auto" w:fill="56BAA2" w:themeFill="accent5"/>
      <w:spacing w:before="160" w:after="240"/>
      <w:ind w:left="578" w:hanging="578"/>
      <w:outlineLvl w:val="0"/>
    </w:pPr>
    <w:rPr>
      <w:rFonts w:asciiTheme="majorHAnsi" w:eastAsiaTheme="majorEastAsia" w:hAnsiTheme="majorHAnsi" w:cstheme="majorBidi"/>
      <w:b/>
      <w:caps/>
      <w:color w:val="171717" w:themeColor="background2" w:themeShade="1A"/>
      <w:sz w:val="32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50FCD"/>
    <w:pPr>
      <w:keepNext/>
      <w:keepLines/>
      <w:numPr>
        <w:ilvl w:val="1"/>
        <w:numId w:val="1"/>
      </w:numPr>
      <w:pBdr>
        <w:bottom w:val="single" w:sz="6" w:space="1" w:color="56BAA2" w:themeColor="accent5"/>
      </w:pBdr>
      <w:spacing w:before="160" w:after="80"/>
      <w:ind w:left="720" w:hanging="720"/>
      <w:outlineLvl w:val="1"/>
    </w:pPr>
    <w:rPr>
      <w:rFonts w:ascii="Aptos" w:eastAsiaTheme="majorEastAsia" w:hAnsi="Aptos" w:cstheme="majorBidi"/>
      <w:b/>
      <w:color w:val="56BAA2" w:themeColor="accent5"/>
      <w:sz w:val="28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50FCD"/>
    <w:pPr>
      <w:keepNext/>
      <w:keepLines/>
      <w:numPr>
        <w:ilvl w:val="2"/>
        <w:numId w:val="1"/>
      </w:numPr>
      <w:spacing w:before="80" w:after="40"/>
      <w:outlineLvl w:val="2"/>
    </w:pPr>
    <w:rPr>
      <w:rFonts w:ascii="Aptos" w:eastAsiaTheme="majorEastAsia" w:hAnsi="Aptos" w:cstheme="majorBidi"/>
      <w:i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50FCD"/>
    <w:pPr>
      <w:keepNext/>
      <w:keepLines/>
      <w:numPr>
        <w:ilvl w:val="3"/>
        <w:numId w:val="1"/>
      </w:numPr>
      <w:spacing w:before="80" w:after="40"/>
      <w:ind w:left="1009" w:hanging="1009"/>
      <w:outlineLvl w:val="3"/>
    </w:pPr>
    <w:rPr>
      <w:rFonts w:ascii="Aptos" w:eastAsiaTheme="majorEastAsia" w:hAnsi="Aptos" w:cstheme="majorBidi"/>
      <w:iCs/>
      <w:color w:val="64881B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rsid w:val="002E0F69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64881B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E0F69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E0F69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E0F69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E0F69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47ECA"/>
    <w:rPr>
      <w:rFonts w:asciiTheme="majorHAnsi" w:eastAsiaTheme="majorEastAsia" w:hAnsiTheme="majorHAnsi" w:cstheme="majorBidi"/>
      <w:b/>
      <w:caps/>
      <w:color w:val="171717" w:themeColor="background2" w:themeShade="1A"/>
      <w:sz w:val="32"/>
      <w:szCs w:val="40"/>
      <w:shd w:val="clear" w:color="auto" w:fill="56BAA2" w:themeFill="accent5"/>
    </w:rPr>
  </w:style>
  <w:style w:type="character" w:customStyle="1" w:styleId="Titre2Car">
    <w:name w:val="Titre 2 Car"/>
    <w:basedOn w:val="Policepardfaut"/>
    <w:link w:val="Titre2"/>
    <w:uiPriority w:val="9"/>
    <w:rsid w:val="00950FCD"/>
    <w:rPr>
      <w:rFonts w:ascii="Aptos" w:eastAsiaTheme="majorEastAsia" w:hAnsi="Aptos" w:cstheme="majorBidi"/>
      <w:b/>
      <w:color w:val="56BAA2" w:themeColor="accent5"/>
      <w:sz w:val="28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50FCD"/>
    <w:rPr>
      <w:rFonts w:ascii="Aptos" w:eastAsiaTheme="majorEastAsia" w:hAnsi="Aptos" w:cstheme="majorBidi"/>
      <w:i/>
      <w:sz w:val="22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950FCD"/>
    <w:rPr>
      <w:rFonts w:ascii="Aptos" w:eastAsiaTheme="majorEastAsia" w:hAnsi="Aptos" w:cstheme="majorBidi"/>
      <w:iCs/>
      <w:color w:val="64881B" w:themeColor="accent1" w:themeShade="BF"/>
      <w:sz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2E0F69"/>
    <w:rPr>
      <w:rFonts w:eastAsiaTheme="majorEastAsia" w:cstheme="majorBidi"/>
      <w:color w:val="64881B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E0F6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E0F6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E0F6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E0F6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5195D"/>
    <w:pPr>
      <w:spacing w:after="80" w:line="240" w:lineRule="auto"/>
      <w:ind w:left="909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96"/>
      <w:szCs w:val="96"/>
    </w:rPr>
  </w:style>
  <w:style w:type="character" w:customStyle="1" w:styleId="TitreCar">
    <w:name w:val="Titre Car"/>
    <w:basedOn w:val="Policepardfaut"/>
    <w:link w:val="Titre"/>
    <w:uiPriority w:val="10"/>
    <w:rsid w:val="0085195D"/>
    <w:rPr>
      <w:rFonts w:asciiTheme="majorHAnsi" w:eastAsiaTheme="majorEastAsia" w:hAnsiTheme="majorHAnsi" w:cstheme="majorBidi"/>
      <w:spacing w:val="-10"/>
      <w:kern w:val="28"/>
      <w:sz w:val="96"/>
      <w:szCs w:val="9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1386C"/>
    <w:pPr>
      <w:spacing w:after="0" w:line="240" w:lineRule="auto"/>
      <w:ind w:left="1310"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rsid w:val="00D13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tion">
    <w:name w:val="Quote"/>
    <w:basedOn w:val="Normal"/>
    <w:next w:val="Normal"/>
    <w:link w:val="CitationCar"/>
    <w:uiPriority w:val="29"/>
    <w:qFormat/>
    <w:rsid w:val="002E0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E0F6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E0F6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E0F69"/>
    <w:rPr>
      <w:i/>
      <w:iCs/>
      <w:color w:val="64881B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E0F69"/>
    <w:pPr>
      <w:pBdr>
        <w:top w:val="single" w:sz="4" w:space="10" w:color="64881B" w:themeColor="accent1" w:themeShade="BF"/>
        <w:bottom w:val="single" w:sz="4" w:space="10" w:color="64881B" w:themeColor="accent1" w:themeShade="BF"/>
      </w:pBdr>
      <w:spacing w:before="360" w:after="360"/>
      <w:ind w:left="864" w:right="864"/>
      <w:jc w:val="center"/>
    </w:pPr>
    <w:rPr>
      <w:i/>
      <w:iCs/>
      <w:color w:val="64881B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E0F69"/>
    <w:rPr>
      <w:i/>
      <w:iCs/>
      <w:color w:val="64881B" w:themeColor="accent1" w:themeShade="BF"/>
    </w:rPr>
  </w:style>
  <w:style w:type="character" w:styleId="Rfrenceintense">
    <w:name w:val="Intense Reference"/>
    <w:basedOn w:val="Policepardfaut"/>
    <w:uiPriority w:val="32"/>
    <w:qFormat/>
    <w:rsid w:val="002E0F69"/>
    <w:rPr>
      <w:b/>
      <w:bCs/>
      <w:smallCaps/>
      <w:color w:val="64881B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2E0F69"/>
    <w:pPr>
      <w:spacing w:after="0" w:line="240" w:lineRule="auto"/>
    </w:pPr>
    <w:rPr>
      <w:rFonts w:eastAsiaTheme="minorEastAsia"/>
      <w:kern w:val="0"/>
      <w:sz w:val="22"/>
      <w:szCs w:val="22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2E0F69"/>
    <w:rPr>
      <w:rFonts w:eastAsiaTheme="minorEastAsia"/>
      <w:kern w:val="0"/>
      <w:sz w:val="22"/>
      <w:szCs w:val="22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A708D8"/>
    <w:pPr>
      <w:tabs>
        <w:tab w:val="center" w:pos="4536"/>
        <w:tab w:val="right" w:pos="9072"/>
      </w:tabs>
      <w:spacing w:after="0" w:line="240" w:lineRule="auto"/>
      <w:jc w:val="left"/>
    </w:pPr>
    <w:rPr>
      <w:sz w:val="20"/>
      <w:szCs w:val="20"/>
    </w:rPr>
  </w:style>
  <w:style w:type="character" w:customStyle="1" w:styleId="En-tteCar">
    <w:name w:val="En-tête Car"/>
    <w:basedOn w:val="Policepardfaut"/>
    <w:link w:val="En-tte"/>
    <w:uiPriority w:val="99"/>
    <w:rsid w:val="00A708D8"/>
    <w:rPr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A708D8"/>
    <w:pPr>
      <w:tabs>
        <w:tab w:val="center" w:pos="4536"/>
        <w:tab w:val="right" w:pos="9072"/>
      </w:tabs>
      <w:spacing w:after="0" w:line="240" w:lineRule="auto"/>
    </w:pPr>
    <w:rPr>
      <w:sz w:val="20"/>
    </w:rPr>
  </w:style>
  <w:style w:type="character" w:customStyle="1" w:styleId="PieddepageCar">
    <w:name w:val="Pied de page Car"/>
    <w:basedOn w:val="Policepardfaut"/>
    <w:link w:val="Pieddepage"/>
    <w:uiPriority w:val="99"/>
    <w:rsid w:val="00A708D8"/>
    <w:rPr>
      <w:sz w:val="20"/>
    </w:rPr>
  </w:style>
  <w:style w:type="table" w:styleId="Grilledutableau">
    <w:name w:val="Table Grid"/>
    <w:basedOn w:val="TableauNormal"/>
    <w:uiPriority w:val="39"/>
    <w:rsid w:val="00EC2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umpage">
    <w:name w:val="num_page"/>
    <w:qFormat/>
    <w:rsid w:val="00A708D8"/>
    <w:pPr>
      <w:jc w:val="center"/>
    </w:pPr>
    <w:rPr>
      <w:b/>
      <w:bCs/>
      <w:sz w:val="28"/>
      <w:szCs w:val="28"/>
    </w:rPr>
  </w:style>
  <w:style w:type="table" w:styleId="TableauListe4-Accentuation2">
    <w:name w:val="List Table 4 Accent 2"/>
    <w:basedOn w:val="TableauNormal"/>
    <w:uiPriority w:val="49"/>
    <w:rsid w:val="002F2C23"/>
    <w:pPr>
      <w:spacing w:after="0" w:line="240" w:lineRule="auto"/>
    </w:pPr>
    <w:tblPr>
      <w:tblStyleRowBandSize w:val="1"/>
      <w:tblStyleColBandSize w:val="1"/>
      <w:tblBorders>
        <w:top w:val="single" w:sz="4" w:space="0" w:color="E9EDAC" w:themeColor="accent2" w:themeTint="99"/>
        <w:left w:val="single" w:sz="4" w:space="0" w:color="E9EDAC" w:themeColor="accent2" w:themeTint="99"/>
        <w:bottom w:val="single" w:sz="4" w:space="0" w:color="E9EDAC" w:themeColor="accent2" w:themeTint="99"/>
        <w:right w:val="single" w:sz="4" w:space="0" w:color="E9EDAC" w:themeColor="accent2" w:themeTint="99"/>
        <w:insideH w:val="single" w:sz="4" w:space="0" w:color="E9EDA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CE176" w:themeColor="accent2"/>
          <w:left w:val="single" w:sz="4" w:space="0" w:color="DCE176" w:themeColor="accent2"/>
          <w:bottom w:val="single" w:sz="4" w:space="0" w:color="DCE176" w:themeColor="accent2"/>
          <w:right w:val="single" w:sz="4" w:space="0" w:color="DCE176" w:themeColor="accent2"/>
          <w:insideH w:val="nil"/>
        </w:tcBorders>
        <w:shd w:val="clear" w:color="auto" w:fill="DCE176" w:themeFill="accent2"/>
      </w:tcPr>
    </w:tblStylePr>
    <w:tblStylePr w:type="lastRow">
      <w:rPr>
        <w:b/>
        <w:bCs/>
      </w:rPr>
      <w:tblPr/>
      <w:tcPr>
        <w:tcBorders>
          <w:top w:val="double" w:sz="4" w:space="0" w:color="E9EDA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9E3" w:themeFill="accent2" w:themeFillTint="33"/>
      </w:tcPr>
    </w:tblStylePr>
    <w:tblStylePr w:type="band1Horz">
      <w:tblPr/>
      <w:tcPr>
        <w:shd w:val="clear" w:color="auto" w:fill="F7F9E3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2F2C23"/>
    <w:pPr>
      <w:spacing w:after="0" w:line="240" w:lineRule="auto"/>
    </w:pPr>
    <w:tblPr>
      <w:tblStyleRowBandSize w:val="1"/>
      <w:tblStyleColBandSize w:val="1"/>
      <w:tblBorders>
        <w:top w:val="single" w:sz="4" w:space="0" w:color="D9E8BE" w:themeColor="accent3" w:themeTint="99"/>
        <w:left w:val="single" w:sz="4" w:space="0" w:color="D9E8BE" w:themeColor="accent3" w:themeTint="99"/>
        <w:bottom w:val="single" w:sz="4" w:space="0" w:color="D9E8BE" w:themeColor="accent3" w:themeTint="99"/>
        <w:right w:val="single" w:sz="4" w:space="0" w:color="D9E8BE" w:themeColor="accent3" w:themeTint="99"/>
        <w:insideH w:val="single" w:sz="4" w:space="0" w:color="D9E8B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1DA94" w:themeColor="accent3"/>
          <w:left w:val="single" w:sz="4" w:space="0" w:color="C1DA94" w:themeColor="accent3"/>
          <w:bottom w:val="single" w:sz="4" w:space="0" w:color="C1DA94" w:themeColor="accent3"/>
          <w:right w:val="single" w:sz="4" w:space="0" w:color="C1DA94" w:themeColor="accent3"/>
          <w:insideH w:val="nil"/>
        </w:tcBorders>
        <w:shd w:val="clear" w:color="auto" w:fill="C1DA94" w:themeFill="accent3"/>
      </w:tcPr>
    </w:tblStylePr>
    <w:tblStylePr w:type="lastRow">
      <w:rPr>
        <w:b/>
        <w:bCs/>
      </w:rPr>
      <w:tblPr/>
      <w:tcPr>
        <w:tcBorders>
          <w:top w:val="double" w:sz="4" w:space="0" w:color="D9E8B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7E9" w:themeFill="accent3" w:themeFillTint="33"/>
      </w:tcPr>
    </w:tblStylePr>
    <w:tblStylePr w:type="band1Horz">
      <w:tblPr/>
      <w:tcPr>
        <w:shd w:val="clear" w:color="auto" w:fill="F2F7E9" w:themeFill="accent3" w:themeFillTint="33"/>
      </w:tcPr>
    </w:tblStylePr>
  </w:style>
  <w:style w:type="table" w:styleId="TableauGrille5Fonc-Accentuation3">
    <w:name w:val="Grid Table 5 Dark Accent 3"/>
    <w:basedOn w:val="TableauNormal"/>
    <w:uiPriority w:val="50"/>
    <w:rsid w:val="002F2C2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7E9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1DA9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1DA9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1DA9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1DA94" w:themeFill="accent3"/>
      </w:tcPr>
    </w:tblStylePr>
    <w:tblStylePr w:type="band1Vert">
      <w:tblPr/>
      <w:tcPr>
        <w:shd w:val="clear" w:color="auto" w:fill="E6F0D4" w:themeFill="accent3" w:themeFillTint="66"/>
      </w:tcPr>
    </w:tblStylePr>
    <w:tblStylePr w:type="band1Horz">
      <w:tblPr/>
      <w:tcPr>
        <w:shd w:val="clear" w:color="auto" w:fill="E6F0D4" w:themeFill="accent3" w:themeFillTint="66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574A6E"/>
    <w:pPr>
      <w:shd w:val="clear" w:color="auto" w:fill="9ACFB2" w:themeFill="accent4"/>
      <w:tabs>
        <w:tab w:val="left" w:pos="358"/>
        <w:tab w:val="right" w:pos="9062"/>
      </w:tabs>
      <w:spacing w:before="120" w:after="120"/>
      <w:jc w:val="left"/>
    </w:pPr>
    <w:rPr>
      <w:b/>
      <w:bCs/>
      <w:caps/>
      <w:szCs w:val="22"/>
    </w:rPr>
  </w:style>
  <w:style w:type="paragraph" w:styleId="TM2">
    <w:name w:val="toc 2"/>
    <w:basedOn w:val="Normal"/>
    <w:next w:val="Normal"/>
    <w:autoRedefine/>
    <w:uiPriority w:val="39"/>
    <w:unhideWhenUsed/>
    <w:rsid w:val="00712665"/>
    <w:pPr>
      <w:tabs>
        <w:tab w:val="left" w:pos="541"/>
        <w:tab w:val="right" w:pos="9062"/>
      </w:tabs>
      <w:spacing w:before="120" w:after="0"/>
      <w:jc w:val="left"/>
    </w:pPr>
    <w:rPr>
      <w:b/>
      <w:bCs/>
      <w:smallCaps/>
      <w:szCs w:val="22"/>
    </w:rPr>
  </w:style>
  <w:style w:type="paragraph" w:styleId="TM3">
    <w:name w:val="toc 3"/>
    <w:basedOn w:val="Normal"/>
    <w:next w:val="Normal"/>
    <w:autoRedefine/>
    <w:uiPriority w:val="39"/>
    <w:unhideWhenUsed/>
    <w:rsid w:val="00A96B26"/>
    <w:pPr>
      <w:spacing w:after="0"/>
      <w:jc w:val="left"/>
    </w:pPr>
    <w:rPr>
      <w:smallCaps/>
      <w:szCs w:val="22"/>
    </w:rPr>
  </w:style>
  <w:style w:type="paragraph" w:styleId="TM4">
    <w:name w:val="toc 4"/>
    <w:basedOn w:val="Normal"/>
    <w:next w:val="Normal"/>
    <w:autoRedefine/>
    <w:uiPriority w:val="39"/>
    <w:unhideWhenUsed/>
    <w:rsid w:val="00A96B26"/>
    <w:pPr>
      <w:spacing w:after="0"/>
      <w:jc w:val="left"/>
    </w:pPr>
    <w:rPr>
      <w:szCs w:val="22"/>
    </w:rPr>
  </w:style>
  <w:style w:type="paragraph" w:styleId="TM5">
    <w:name w:val="toc 5"/>
    <w:basedOn w:val="Normal"/>
    <w:next w:val="Normal"/>
    <w:autoRedefine/>
    <w:uiPriority w:val="39"/>
    <w:unhideWhenUsed/>
    <w:rsid w:val="00A96B26"/>
    <w:pPr>
      <w:spacing w:after="0"/>
      <w:jc w:val="left"/>
    </w:pPr>
    <w:rPr>
      <w:szCs w:val="22"/>
    </w:rPr>
  </w:style>
  <w:style w:type="paragraph" w:styleId="TM6">
    <w:name w:val="toc 6"/>
    <w:basedOn w:val="Normal"/>
    <w:next w:val="Normal"/>
    <w:autoRedefine/>
    <w:uiPriority w:val="39"/>
    <w:unhideWhenUsed/>
    <w:rsid w:val="00A96B26"/>
    <w:pPr>
      <w:spacing w:after="0"/>
      <w:jc w:val="left"/>
    </w:pPr>
    <w:rPr>
      <w:szCs w:val="22"/>
    </w:rPr>
  </w:style>
  <w:style w:type="paragraph" w:styleId="TM7">
    <w:name w:val="toc 7"/>
    <w:basedOn w:val="Normal"/>
    <w:next w:val="Normal"/>
    <w:autoRedefine/>
    <w:uiPriority w:val="39"/>
    <w:unhideWhenUsed/>
    <w:rsid w:val="00A96B26"/>
    <w:pPr>
      <w:spacing w:after="0"/>
      <w:jc w:val="left"/>
    </w:pPr>
    <w:rPr>
      <w:szCs w:val="22"/>
    </w:rPr>
  </w:style>
  <w:style w:type="paragraph" w:styleId="TM8">
    <w:name w:val="toc 8"/>
    <w:basedOn w:val="Normal"/>
    <w:next w:val="Normal"/>
    <w:autoRedefine/>
    <w:uiPriority w:val="39"/>
    <w:unhideWhenUsed/>
    <w:rsid w:val="00A96B26"/>
    <w:pPr>
      <w:spacing w:after="0"/>
      <w:jc w:val="left"/>
    </w:pPr>
    <w:rPr>
      <w:szCs w:val="22"/>
    </w:rPr>
  </w:style>
  <w:style w:type="paragraph" w:styleId="TM9">
    <w:name w:val="toc 9"/>
    <w:basedOn w:val="Normal"/>
    <w:next w:val="Normal"/>
    <w:autoRedefine/>
    <w:uiPriority w:val="39"/>
    <w:unhideWhenUsed/>
    <w:rsid w:val="00A96B26"/>
    <w:pPr>
      <w:spacing w:after="0"/>
      <w:jc w:val="left"/>
    </w:pPr>
    <w:rPr>
      <w:szCs w:val="22"/>
    </w:rPr>
  </w:style>
  <w:style w:type="character" w:styleId="Lienhypertexte">
    <w:name w:val="Hyperlink"/>
    <w:basedOn w:val="Policepardfaut"/>
    <w:uiPriority w:val="99"/>
    <w:unhideWhenUsed/>
    <w:rsid w:val="00A96B26"/>
    <w:rPr>
      <w:color w:val="E35205" w:themeColor="hyperlink"/>
      <w:u w:val="single"/>
    </w:rPr>
  </w:style>
  <w:style w:type="table" w:styleId="TableauGrille5Fonc-Accentuation1">
    <w:name w:val="Grid Table 5 Dark Accent 1"/>
    <w:basedOn w:val="TableauNormal"/>
    <w:uiPriority w:val="50"/>
    <w:rsid w:val="00574A6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5C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B62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B62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6B62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6B625" w:themeFill="accent1"/>
      </w:tcPr>
    </w:tblStylePr>
    <w:tblStylePr w:type="band1Vert">
      <w:tblPr/>
      <w:tcPr>
        <w:shd w:val="clear" w:color="auto" w:fill="D1EB9E" w:themeFill="accent1" w:themeFillTint="66"/>
      </w:tcPr>
    </w:tblStylePr>
    <w:tblStylePr w:type="band1Horz">
      <w:tblPr/>
      <w:tcPr>
        <w:shd w:val="clear" w:color="auto" w:fill="D1EB9E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574A6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9E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CE17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CE17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CE17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CE176" w:themeFill="accent2"/>
      </w:tcPr>
    </w:tblStylePr>
    <w:tblStylePr w:type="band1Vert">
      <w:tblPr/>
      <w:tcPr>
        <w:shd w:val="clear" w:color="auto" w:fill="F0F3C8" w:themeFill="accent2" w:themeFillTint="66"/>
      </w:tcPr>
    </w:tblStylePr>
    <w:tblStylePr w:type="band1Horz">
      <w:tblPr/>
      <w:tcPr>
        <w:shd w:val="clear" w:color="auto" w:fill="F0F3C8" w:themeFill="accent2" w:themeFillTint="66"/>
      </w:tcPr>
    </w:tblStylePr>
  </w:style>
  <w:style w:type="character" w:styleId="Textedelespacerserv">
    <w:name w:val="Placeholder Text"/>
    <w:basedOn w:val="Policepardfaut"/>
    <w:uiPriority w:val="99"/>
    <w:semiHidden/>
    <w:rsid w:val="00B05214"/>
    <w:rPr>
      <w:color w:val="666666"/>
    </w:rPr>
  </w:style>
  <w:style w:type="paragraph" w:customStyle="1" w:styleId="Rdacteur">
    <w:name w:val="Rédacteur"/>
    <w:basedOn w:val="Normal"/>
    <w:link w:val="RdacteurCar"/>
    <w:qFormat/>
    <w:rsid w:val="00D1386C"/>
    <w:pPr>
      <w:spacing w:after="0" w:line="240" w:lineRule="auto"/>
    </w:pPr>
    <w:rPr>
      <w:b/>
      <w:bCs/>
    </w:rPr>
  </w:style>
  <w:style w:type="character" w:customStyle="1" w:styleId="RdacteurCar">
    <w:name w:val="Rédacteur Car"/>
    <w:basedOn w:val="Policepardfaut"/>
    <w:link w:val="Rdacteur"/>
    <w:rsid w:val="00D1386C"/>
    <w:rPr>
      <w:b/>
      <w:bCs/>
    </w:rPr>
  </w:style>
  <w:style w:type="paragraph" w:customStyle="1" w:styleId="PuceCamembert">
    <w:name w:val="Puce Camembert"/>
    <w:basedOn w:val="Paragraphedeliste"/>
    <w:qFormat/>
    <w:rsid w:val="00DC3323"/>
    <w:pPr>
      <w:numPr>
        <w:numId w:val="5"/>
      </w:numPr>
    </w:pPr>
    <w:rPr>
      <w:noProof/>
    </w:rPr>
  </w:style>
  <w:style w:type="paragraph" w:customStyle="1" w:styleId="PuceD">
    <w:name w:val="Puce D"/>
    <w:qFormat/>
    <w:rsid w:val="00DC3323"/>
    <w:pPr>
      <w:numPr>
        <w:ilvl w:val="1"/>
        <w:numId w:val="5"/>
      </w:numPr>
    </w:pPr>
    <w:rPr>
      <w:noProof/>
      <w:sz w:val="22"/>
    </w:rPr>
  </w:style>
  <w:style w:type="paragraph" w:customStyle="1" w:styleId="tableau">
    <w:name w:val="tableau"/>
    <w:basedOn w:val="Normal"/>
    <w:qFormat/>
    <w:rsid w:val="00F016C9"/>
    <w:pPr>
      <w:spacing w:after="0" w:line="240" w:lineRule="auto"/>
      <w:ind w:left="168" w:right="308"/>
    </w:pPr>
    <w:rPr>
      <w:noProof/>
    </w:rPr>
  </w:style>
  <w:style w:type="paragraph" w:customStyle="1" w:styleId="titretableau">
    <w:name w:val="titre tableau"/>
    <w:basedOn w:val="Normal"/>
    <w:qFormat/>
    <w:rsid w:val="00F016C9"/>
    <w:pPr>
      <w:spacing w:before="240" w:after="0" w:line="240" w:lineRule="auto"/>
      <w:ind w:left="170"/>
    </w:pPr>
    <w:rPr>
      <w:b/>
      <w:bCs/>
      <w:color w:val="FFFFFF" w:themeColor="background1"/>
    </w:rPr>
  </w:style>
  <w:style w:type="paragraph" w:customStyle="1" w:styleId="Default">
    <w:name w:val="Default"/>
    <w:rsid w:val="00B41FE3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2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93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7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199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9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800673\Downloads\Nouvelle%20charte%20graphique\Mod&#232;le%20cahier%20des%20charges%20DNA%20-%20Copie.dotx" TargetMode="External"/></Relationships>
</file>

<file path=word/theme/theme1.xml><?xml version="1.0" encoding="utf-8"?>
<a:theme xmlns:a="http://schemas.openxmlformats.org/drawingml/2006/main" name="Thème Office">
  <a:themeElements>
    <a:clrScheme name="AFP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86B625"/>
      </a:accent1>
      <a:accent2>
        <a:srgbClr val="DCE176"/>
      </a:accent2>
      <a:accent3>
        <a:srgbClr val="C1DA94"/>
      </a:accent3>
      <a:accent4>
        <a:srgbClr val="9ACFB2"/>
      </a:accent4>
      <a:accent5>
        <a:srgbClr val="56BAA2"/>
      </a:accent5>
      <a:accent6>
        <a:srgbClr val="149B9D"/>
      </a:accent6>
      <a:hlink>
        <a:srgbClr val="E35205"/>
      </a:hlink>
      <a:folHlink>
        <a:srgbClr val="FFCD00"/>
      </a:folHlink>
    </a:clrScheme>
    <a:fontScheme name="Personnalisé 23">
      <a:majorFont>
        <a:latin typeface="Rockwell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SOUS-TITRE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1EF4C1DA7F4544AC33154A239A7CAB" ma:contentTypeVersion="21" ma:contentTypeDescription="Crée un document." ma:contentTypeScope="" ma:versionID="416b68bd1971a9f5a056830fb10dbf66">
  <xsd:schema xmlns:xsd="http://www.w3.org/2001/XMLSchema" xmlns:xs="http://www.w3.org/2001/XMLSchema" xmlns:p="http://schemas.microsoft.com/office/2006/metadata/properties" xmlns:ns2="41c04143-63f0-4064-bc10-da8bf7bbab5e" xmlns:ns3="2778854a-200b-43d6-a594-ae454321b24f" targetNamespace="http://schemas.microsoft.com/office/2006/metadata/properties" ma:root="true" ma:fieldsID="cd6e8cf467665317c8ad04301a4078e3" ns2:_="" ns3:_="">
    <xsd:import namespace="41c04143-63f0-4064-bc10-da8bf7bbab5e"/>
    <xsd:import namespace="2778854a-200b-43d6-a594-ae454321b2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Cr_x00e9_epar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c04143-63f0-4064-bc10-da8bf7bbab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Cr_x00e9_epar" ma:index="18" nillable="true" ma:displayName="Crée par" ma:format="Dropdown" ma:list="UserInfo" ma:SharePointGroup="0" ma:internalName="Cr_x00e9_epa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Balises d’images" ma:readOnly="false" ma:fieldId="{5cf76f15-5ced-4ddc-b409-7134ff3c332f}" ma:taxonomyMulti="true" ma:sspId="3ff27869-bdc0-4c94-997a-7af7c7ce84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7" nillable="true" ma:displayName="État de validation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78854a-200b-43d6-a594-ae454321b24f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787c763-0385-4950-b9e8-ddf631fbb861}" ma:internalName="TaxCatchAll" ma:showField="CatchAllData" ma:web="2778854a-200b-43d6-a594-ae454321b2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78854a-200b-43d6-a594-ae454321b24f" xsi:nil="true"/>
    <Cr_x00e9_epar xmlns="41c04143-63f0-4064-bc10-da8bf7bbab5e">
      <UserInfo>
        <DisplayName/>
        <AccountId xsi:nil="true"/>
        <AccountType/>
      </UserInfo>
    </Cr_x00e9_epar>
    <lcf76f155ced4ddcb4097134ff3c332f xmlns="41c04143-63f0-4064-bc10-da8bf7bbab5e">
      <Terms xmlns="http://schemas.microsoft.com/office/infopath/2007/PartnerControls"/>
    </lcf76f155ced4ddcb4097134ff3c332f>
    <_Flow_SignoffStatus xmlns="41c04143-63f0-4064-bc10-da8bf7bbab5e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6DC1946-E2D2-4022-911E-B144624F99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c04143-63f0-4064-bc10-da8bf7bbab5e"/>
    <ds:schemaRef ds:uri="2778854a-200b-43d6-a594-ae454321b2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1A3D56D-0C8B-42D4-967B-A16D4D26FDEA}">
  <ds:schemaRefs>
    <ds:schemaRef ds:uri="http://schemas.microsoft.com/office/2006/metadata/properties"/>
    <ds:schemaRef ds:uri="http://schemas.microsoft.com/office/infopath/2007/PartnerControls"/>
    <ds:schemaRef ds:uri="2778854a-200b-43d6-a594-ae454321b24f"/>
    <ds:schemaRef ds:uri="41c04143-63f0-4064-bc10-da8bf7bbab5e"/>
  </ds:schemaRefs>
</ds:datastoreItem>
</file>

<file path=customXml/itemProps4.xml><?xml version="1.0" encoding="utf-8"?>
<ds:datastoreItem xmlns:ds="http://schemas.openxmlformats.org/officeDocument/2006/customXml" ds:itemID="{40C6F3AC-F4CC-4F63-8820-AB03FDB1D2D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AA3D839-6A35-49A3-BEDA-C9FEFB3A92E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cahier des charges DNA - Copie</Template>
  <TotalTime>408</TotalTime>
  <Pages>5</Pages>
  <Words>948</Words>
  <Characters>4905</Characters>
  <Application>Microsoft Office Word</Application>
  <DocSecurity>0</DocSecurity>
  <Lines>163</Lines>
  <Paragraphs>139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Note d’accompagnement et d’opportunité</vt:lpstr>
    </vt:vector>
  </TitlesOfParts>
  <Company/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Présentation</dc:title>
  <dc:subject/>
  <dc:creator>Gaujard Julie</dc:creator>
  <cp:keywords/>
  <dc:description/>
  <cp:lastModifiedBy>Roturier Laurent</cp:lastModifiedBy>
  <cp:revision>76</cp:revision>
  <cp:lastPrinted>2024-03-28T17:30:00Z</cp:lastPrinted>
  <dcterms:created xsi:type="dcterms:W3CDTF">2024-09-17T15:29:00Z</dcterms:created>
  <dcterms:modified xsi:type="dcterms:W3CDTF">2026-01-13T15:17:00Z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0x010100C71EF4C1DA7F4544AC33154A239A7CAB</vt:lpwstr>
  </property>
  <property fmtid="{D5CDD505-2E9C-101B-9397-08002B2CF9AE}" pid="3" name="docLang">
    <vt:lpwstr>fr</vt:lpwstr>
  </property>
  <property fmtid="{D5CDD505-2E9C-101B-9397-08002B2CF9AE}" pid="4" name="MediaServiceImageTags">
    <vt:lpwstr/>
  </property>
</Properties>
</file>