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SC-ECO</w:t>
      </w:r>
    </w:p>
    <w:p>
      <w:pPr>
        <w:pStyle w:val="Subtitle"/>
      </w:pPr>
      <w:r>
        <w:t xml:space="preserve">Productivity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</w:t>
      </w:r>
      <w:r>
        <w:t xml:space="preserve"> </w:t>
      </w:r>
      <w:r>
        <w:t xml:space="preserve">Kell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March,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objective"/>
      <w:r>
        <w:t xml:space="preserve">Objective</w:t>
      </w:r>
      <w:bookmarkEnd w:id="20"/>
    </w:p>
    <w:p>
      <w:pPr>
        <w:pStyle w:val="FirstParagraph"/>
      </w:pPr>
      <w:r>
        <w:t xml:space="preserve">Compare different ways to estimate productivity for</w:t>
      </w:r>
      <w:r>
        <w:t xml:space="preserve"> </w:t>
      </w:r>
      <w:r>
        <w:rPr>
          <w:b/>
        </w:rPr>
        <w:t xml:space="preserve">data poor</w:t>
      </w:r>
      <w:r>
        <w:t xml:space="preserve"> </w:t>
      </w:r>
      <w:r>
        <w:t xml:space="preserve">stocks and compare with estimates from</w:t>
      </w:r>
      <w:r>
        <w:t xml:space="preserve"> </w:t>
      </w:r>
      <w:r>
        <w:rPr>
          <w:b/>
        </w:rPr>
        <w:t xml:space="preserve">data rich</w:t>
      </w:r>
      <w:r>
        <w:t xml:space="preserve"> </w:t>
      </w:r>
      <w:r>
        <w:t xml:space="preserve">assessments.</w:t>
      </w:r>
    </w:p>
    <w:p>
      <w:pPr>
        <w:pStyle w:val="Heading2"/>
      </w:pPr>
      <w:bookmarkStart w:id="21" w:name="data-rich-assessments"/>
      <w:r>
        <w:t xml:space="preserve">Data Rich Assessments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Use data rich assessments from the Myers legacy database to sumarise reference points, i.e.</w:t>
      </w:r>
      <w:r>
        <w:t xml:space="preserve"> </w:t>
      </w:r>
      <m:oMath>
        <m:r>
          <m:t>M</m:t>
        </m:r>
        <m:r>
          <m:t>S</m:t>
        </m:r>
        <m:r>
          <m:t>Y</m:t>
        </m:r>
      </m:oMath>
      <w:r>
        <w:t xml:space="preserve">,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, and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Use the reference points to estimate the Pella-Tomlinson production functions and hence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 the shape of the production function (</w:t>
      </w:r>
      <m:oMath>
        <m:r>
          <m:t>p</m:t>
        </m:r>
      </m:oMath>
      <w:r>
        <w:t xml:space="preserve">).</w:t>
      </w:r>
    </w:p>
    <w:p>
      <w:pPr>
        <w:pStyle w:val="Heading3"/>
      </w:pPr>
      <w:bookmarkStart w:id="22" w:name="life-history-characteristics"/>
      <w:r>
        <w:t xml:space="preserve">Life History characteristics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A number of life history characteristics have been used as proxies for productivity, i.e.</w:t>
      </w:r>
    </w:p>
    <w:p>
      <w:pPr>
        <w:pStyle w:val="Compact"/>
        <w:numPr>
          <w:numId w:val="1003"/>
          <w:ilvl w:val="1"/>
        </w:numPr>
      </w:pPr>
      <w:r>
        <w:t xml:space="preserve">Maximum Size (</w:t>
      </w:r>
      <m:oMath>
        <m:sSub>
          <m:e>
            <m:r>
              <m:t>L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&lt;110 cm 110–200 &gt;200 cm</w:t>
      </w:r>
    </w:p>
    <w:p>
      <w:pPr>
        <w:pStyle w:val="Compact"/>
        <w:numPr>
          <w:numId w:val="1003"/>
          <w:ilvl w:val="1"/>
        </w:numPr>
      </w:pPr>
      <w:r>
        <w:t xml:space="preserve">von Bertalanffy growth coefficient (</w:t>
      </w:r>
      <m:oMath>
        <m:r>
          <m:t>k</m:t>
        </m:r>
      </m:oMath>
      <w:r>
        <w:t xml:space="preserve">) &gt;0.36 0.27–0.36 &lt;0.27</w:t>
      </w:r>
    </w:p>
    <w:p>
      <w:pPr>
        <w:pStyle w:val="Compact"/>
        <w:numPr>
          <w:numId w:val="1003"/>
          <w:ilvl w:val="1"/>
        </w:numPr>
      </w:pPr>
      <w:r>
        <w:t xml:space="preserve">Size at first maturity (</w:t>
      </w:r>
      <m:oMath>
        <m:sSub>
          <m:e>
            <m:r>
              <m:t>L</m:t>
            </m:r>
          </m:e>
          <m:sub>
            <m:r>
              <m:t>50</m:t>
            </m:r>
          </m:sub>
        </m:sSub>
      </m:oMath>
      <w:r>
        <w:t xml:space="preserve">) &lt;54 54–105 &gt;105</w:t>
      </w:r>
    </w:p>
    <w:p>
      <w:pPr>
        <w:pStyle w:val="Compact"/>
        <w:numPr>
          <w:numId w:val="1003"/>
          <w:ilvl w:val="1"/>
        </w:numPr>
      </w:pPr>
      <w:r>
        <w:t xml:space="preserve">Maximum age (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&lt;8 8–14 &gt;14</w:t>
      </w:r>
    </w:p>
    <w:p>
      <w:pPr>
        <w:pStyle w:val="Compact"/>
        <w:numPr>
          <w:numId w:val="1003"/>
          <w:ilvl w:val="1"/>
        </w:numPr>
      </w:pPr>
      <m:oMath>
        <m:sSub>
          <m:e>
            <m:r>
              <m:t>L</m:t>
            </m:r>
          </m:e>
          <m:sub>
            <m:r>
              <m:t>50</m:t>
            </m:r>
          </m:sub>
        </m:sSub>
        <m:r>
          <m:t>/</m:t>
        </m:r>
        <m:sSub>
          <m:e>
            <m:r>
              <m:t>L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&lt;0.51 0.51–0.55 &gt;0.55</w:t>
      </w:r>
    </w:p>
    <w:p>
      <w:pPr>
        <w:pStyle w:val="Compact"/>
        <w:numPr>
          <w:numId w:val="1003"/>
          <w:ilvl w:val="1"/>
        </w:numPr>
      </w:pPr>
      <w:r>
        <w:t xml:space="preserve">Fecundity (Fec) &gt;2.88 1.03–2.88 &lt;1.03</w:t>
      </w:r>
    </w:p>
    <w:p>
      <w:pPr>
        <w:pStyle w:val="Compact"/>
        <w:numPr>
          <w:numId w:val="1003"/>
          <w:ilvl w:val="1"/>
        </w:numPr>
      </w:pPr>
      <m:oMath>
        <m:r>
          <m:t>r</m:t>
        </m:r>
      </m:oMath>
      <w:r>
        <w:t xml:space="preserve"> </w:t>
      </w:r>
      <w:r>
        <w:t xml:space="preserve">&gt;0.48 0.26–0.38 &lt;0.38</w:t>
      </w:r>
    </w:p>
    <w:p>
      <w:pPr>
        <w:pStyle w:val="Compact"/>
        <w:numPr>
          <w:numId w:val="1002"/>
          <w:ilvl w:val="0"/>
        </w:numPr>
      </w:pPr>
      <w:r>
        <w:t xml:space="preserve">Use life history parameters from Fish Base, and identify cases where</w:t>
      </w:r>
      <w:r>
        <w:t xml:space="preserve"> </w:t>
      </w:r>
      <m:oMath>
        <m:sSub>
          <m:e>
            <m:r>
              <m:t>L</m:t>
            </m:r>
          </m:e>
          <m:sub>
            <m:r>
              <m:t>∞</m:t>
            </m:r>
          </m:sub>
        </m:sSub>
      </m:oMath>
      <w:r>
        <w:t xml:space="preserve">,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  <m:r>
              <m:t>a</m:t>
            </m:r>
            <m:r>
              <m:t>t</m:t>
            </m:r>
          </m:sub>
        </m:sSub>
      </m:oMath>
      <w:r>
        <w:t xml:space="preserve">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from the length weight relationship are available and then calculate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under a variety of assumptions and compare to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from the data rich case studies.</w:t>
      </w:r>
    </w:p>
    <w:p>
      <w:pPr>
        <w:pStyle w:val="Compact"/>
        <w:numPr>
          <w:numId w:val="1002"/>
          <w:ilvl w:val="0"/>
        </w:numPr>
      </w:pPr>
      <w:r>
        <w:t xml:space="preserve">Scenarios corresponding to steepness (</w:t>
      </w:r>
      <m:oMath>
        <m:r>
          <m:t>h</m:t>
        </m:r>
      </m:oMath>
      <w:r>
        <w:t xml:space="preserve">), selection pattern (dome shaped, flat) and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Heading3"/>
      </w:pPr>
      <w:bookmarkStart w:id="23" w:name="productivity-proxies"/>
      <w:r>
        <w:t xml:space="preserve">Productivity Proxies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Compare life history parameters and estimates of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Data Rich</w:t>
      </w:r>
      <w:r>
        <w:t xml:space="preserve"> </w:t>
      </w:r>
      <w:r>
        <w:t xml:space="preserve">estimates to develop a robust proxy for productivity.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tex/p-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</w:t>
      </w:r>
      <w:r>
        <w:t xml:space="preserve"> </w:t>
      </w:r>
      <w:r>
        <w:t xml:space="preserve">Relationships between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sSub>
          <m:e>
            <m:r>
              <m:t>H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, and the shape of the Pella-Tomlinson production function from data rich assessments, with data poor estimates of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(r.lh) and life history parameters</w:t>
      </w:r>
      <w:r>
        <w:t xml:space="preserve"> </w:t>
      </w:r>
      <w:r>
        <w:t xml:space="preserve">$L_{\nfty}$</w:t>
      </w:r>
      <w:r>
        <w:t xml:space="preserve">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50</m:t>
            </m:r>
          </m:sub>
        </m:sSub>
        <m:r>
          <m:t>/</m:t>
        </m:r>
        <m:sSub>
          <m:e>
            <m:r>
              <m:t>L</m:t>
            </m:r>
          </m:e>
          <m:sub>
            <m:r>
              <m:t>∞</m:t>
            </m:r>
          </m:sub>
        </m:sSub>
      </m:oMath>
      <w:r>
        <w:t xml:space="preserve">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tex/p-lh.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</w:t>
      </w:r>
      <w:r>
        <w:t xml:space="preserve"> </w:t>
      </w:r>
      <w:r>
        <w:t xml:space="preserve">Relationship between data poor estimates population growth rate (</w:t>
      </w:r>
      <m:oMath>
        <m:r>
          <m:t>r</m:t>
        </m:r>
      </m:oMath>
      <w:r>
        <w:t xml:space="preserve">) under the different scenarios.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tex/p-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</w:t>
      </w:r>
      <w:r>
        <w:t xml:space="preserve"> </w:t>
      </w:r>
      <w:r>
        <w:t xml:space="preserve">Estimates of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for data poor scenarios, colours compare with</w:t>
      </w:r>
      <w:r>
        <w:t xml:space="preserve"> </w:t>
      </w:r>
      <m:oMath>
        <m:sSub>
          <m:e>
            <m:r>
              <m:t>H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.</w:t>
      </w:r>
    </w:p>
    <w:p>
      <w:r>
        <w:br w:type="page"/>
      </w:r>
    </w:p>
    <w:p>
      <w:pPr>
        <w:pStyle w:val="Heading2"/>
      </w:pPr>
      <w:bookmarkStart w:id="27" w:name="software-versions"/>
      <w:r>
        <w:t xml:space="preserve">Software Versions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R version 3.6.3 (2020-02-29)</w:t>
      </w:r>
    </w:p>
    <w:p>
      <w:pPr>
        <w:pStyle w:val="Compact"/>
        <w:numPr>
          <w:numId w:val="1005"/>
          <w:ilvl w:val="0"/>
        </w:numPr>
      </w:pPr>
      <w:r>
        <w:t xml:space="preserve">FLCore: 2.6.14</w:t>
      </w:r>
    </w:p>
    <w:p>
      <w:pPr>
        <w:pStyle w:val="Compact"/>
        <w:numPr>
          <w:numId w:val="1005"/>
          <w:ilvl w:val="0"/>
        </w:numPr>
      </w:pPr>
      <w:r>
        <w:t xml:space="preserve">FLBRP: 2.5.4</w:t>
      </w:r>
    </w:p>
    <w:p>
      <w:pPr>
        <w:pStyle w:val="Compact"/>
        <w:numPr>
          <w:numId w:val="1005"/>
          <w:ilvl w:val="0"/>
        </w:numPr>
      </w:pPr>
      <w:r>
        <w:t xml:space="preserve">FLasher: 0.6.0</w:t>
      </w:r>
    </w:p>
    <w:p>
      <w:pPr>
        <w:pStyle w:val="Compact"/>
        <w:numPr>
          <w:numId w:val="1005"/>
          <w:ilvl w:val="0"/>
        </w:numPr>
      </w:pPr>
      <w:r>
        <w:t xml:space="preserve">FLife: 3.3.1</w:t>
      </w:r>
    </w:p>
    <w:p>
      <w:pPr>
        <w:pStyle w:val="Compact"/>
        <w:numPr>
          <w:numId w:val="1005"/>
          <w:ilvl w:val="0"/>
        </w:numPr>
      </w:pPr>
      <w:r>
        <w:t xml:space="preserve">mydas: 1.1.6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Compiled</w:t>
      </w:r>
      <w:r>
        <w:t xml:space="preserve">: Mon Mar 16 11:12:33 2020</w:t>
      </w:r>
    </w:p>
    <w:p>
      <w:pPr>
        <w:pStyle w:val="Heading2"/>
      </w:pPr>
      <w:bookmarkStart w:id="28" w:name="author-information"/>
      <w:r>
        <w:t xml:space="preserve">Author information</w:t>
      </w:r>
      <w:bookmarkEnd w:id="28"/>
    </w:p>
    <w:p>
      <w:pPr>
        <w:pStyle w:val="FirstParagraph"/>
      </w:pPr>
      <w:r>
        <w:rPr>
          <w:b/>
        </w:rPr>
        <w:t xml:space="preserve">Laurence Kell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laurie@seaplusplus.es</w:t>
        </w:r>
      </w:hyperlink>
    </w:p>
    <w:p>
      <w:pPr>
        <w:pStyle w:val="Heading1"/>
      </w:pPr>
      <w:bookmarkStart w:id="30" w:name="References"/>
      <w:r>
        <w:t xml:space="preserve">References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29" Target="mailto:laurie@seaplusplus.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laurie@seaplusplus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SC-ECO</dc:title>
  <dc:creator>L Kell</dc:creator>
  <cp:keywords/>
  <dcterms:created xsi:type="dcterms:W3CDTF">2020-03-16T11:12:33Z</dcterms:created>
  <dcterms:modified xsi:type="dcterms:W3CDTF">2020-03-16T11:12:33Z</dcterms:modified>
</cp:coreProperties>
</file>