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t>REPORT OF THE INTERSESSIONAL MEETING OF PANEL 2</w:t>
      </w:r>
    </w:p>
    <w:p>
      <w:pPr>
        <w:pStyle w:val="Normal"/>
        <w:jc w:val="center"/>
        <w:rPr>
          <w:i/>
          <w:i/>
          <w:sz w:val="20"/>
          <w:szCs w:val="20"/>
        </w:rPr>
      </w:pPr>
      <w:r>
        <w:rPr>
          <w:i/>
          <w:sz w:val="20"/>
          <w:szCs w:val="20"/>
        </w:rPr>
        <w:t>(Sapporo, Japan, 20-21 July 2016)</w:t>
      </w:r>
    </w:p>
    <w:p>
      <w:pPr>
        <w:pStyle w:val="Normal"/>
        <w:jc w:val="both"/>
        <w:rPr>
          <w:b/>
          <w:b/>
          <w:sz w:val="20"/>
          <w:szCs w:val="20"/>
        </w:rPr>
      </w:pPr>
      <w:r>
        <w:rPr>
          <w:b/>
          <w:sz w:val="20"/>
          <w:szCs w:val="20"/>
        </w:rPr>
      </w:r>
    </w:p>
    <w:p>
      <w:pPr>
        <w:pStyle w:val="ListParagraph"/>
        <w:numPr>
          <w:ilvl w:val="0"/>
          <w:numId w:val="1"/>
        </w:numPr>
        <w:ind w:left="284" w:hanging="284"/>
        <w:jc w:val="both"/>
        <w:rPr>
          <w:b/>
          <w:b/>
          <w:sz w:val="20"/>
          <w:szCs w:val="20"/>
        </w:rPr>
      </w:pPr>
      <w:r>
        <w:rPr>
          <w:b/>
          <w:sz w:val="20"/>
          <w:szCs w:val="20"/>
        </w:rPr>
        <w:t>Opening of the meeting</w:t>
      </w:r>
    </w:p>
    <w:p>
      <w:pPr>
        <w:pStyle w:val="Normal"/>
        <w:jc w:val="both"/>
        <w:rPr>
          <w:b/>
          <w:b/>
          <w:sz w:val="20"/>
          <w:szCs w:val="20"/>
        </w:rPr>
      </w:pPr>
      <w:r>
        <w:rPr>
          <w:b/>
          <w:sz w:val="20"/>
          <w:szCs w:val="20"/>
        </w:rPr>
      </w:r>
    </w:p>
    <w:p>
      <w:pPr>
        <w:pStyle w:val="Normal"/>
        <w:jc w:val="both"/>
        <w:rPr>
          <w:rFonts w:eastAsia="Times New Roman" w:cs="Times New Roman"/>
          <w:sz w:val="20"/>
          <w:szCs w:val="20"/>
        </w:rPr>
      </w:pPr>
      <w:r>
        <w:rPr>
          <w:rFonts w:eastAsia="Times New Roman" w:cs="Times New Roman"/>
          <w:sz w:val="20"/>
          <w:szCs w:val="20"/>
        </w:rPr>
        <w:t xml:space="preserve">The Chair of the Panel 2, Mr. Masanori Miyahara (Japan), opened the meeting and welcomed the delegates to this intersessional meeting of Panel 2.  </w:t>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ListParagraph"/>
        <w:numPr>
          <w:ilvl w:val="0"/>
          <w:numId w:val="1"/>
        </w:numPr>
        <w:ind w:left="284" w:hanging="284"/>
        <w:jc w:val="both"/>
        <w:rPr>
          <w:b/>
          <w:b/>
          <w:sz w:val="20"/>
          <w:szCs w:val="20"/>
        </w:rPr>
      </w:pPr>
      <w:r>
        <w:rPr>
          <w:b/>
          <w:sz w:val="20"/>
          <w:szCs w:val="20"/>
        </w:rPr>
        <w:t>Nomination of Rapporteur</w:t>
      </w:r>
    </w:p>
    <w:p>
      <w:pPr>
        <w:pStyle w:val="Normal"/>
        <w:jc w:val="both"/>
        <w:rPr>
          <w:b/>
          <w:b/>
          <w:sz w:val="20"/>
          <w:szCs w:val="20"/>
        </w:rPr>
      </w:pPr>
      <w:r>
        <w:rPr>
          <w:b/>
          <w:sz w:val="20"/>
          <w:szCs w:val="20"/>
        </w:rPr>
      </w:r>
    </w:p>
    <w:p>
      <w:pPr>
        <w:pStyle w:val="Normal"/>
        <w:jc w:val="both"/>
        <w:rPr>
          <w:sz w:val="20"/>
          <w:szCs w:val="20"/>
        </w:rPr>
      </w:pPr>
      <w:r>
        <w:rPr>
          <w:sz w:val="20"/>
          <w:szCs w:val="20"/>
        </w:rPr>
        <w:t xml:space="preserve">Ms. Rachel O’Malley (USA) was nominated as rapporteur. </w:t>
      </w:r>
    </w:p>
    <w:p>
      <w:pPr>
        <w:pStyle w:val="Normal"/>
        <w:jc w:val="both"/>
        <w:rPr>
          <w:sz w:val="20"/>
          <w:szCs w:val="20"/>
        </w:rPr>
      </w:pPr>
      <w:r>
        <w:rPr>
          <w:sz w:val="20"/>
          <w:szCs w:val="20"/>
        </w:rPr>
      </w:r>
    </w:p>
    <w:p>
      <w:pPr>
        <w:pStyle w:val="Normal"/>
        <w:jc w:val="both"/>
        <w:rPr>
          <w:sz w:val="20"/>
          <w:szCs w:val="20"/>
        </w:rPr>
      </w:pPr>
      <w:r>
        <w:rPr>
          <w:sz w:val="20"/>
          <w:szCs w:val="20"/>
        </w:rPr>
      </w:r>
    </w:p>
    <w:p>
      <w:pPr>
        <w:pStyle w:val="ListParagraph"/>
        <w:numPr>
          <w:ilvl w:val="0"/>
          <w:numId w:val="1"/>
        </w:numPr>
        <w:ind w:left="284" w:hanging="284"/>
        <w:jc w:val="both"/>
        <w:rPr>
          <w:b/>
          <w:b/>
          <w:sz w:val="20"/>
          <w:szCs w:val="20"/>
        </w:rPr>
      </w:pPr>
      <w:r>
        <w:rPr>
          <w:b/>
          <w:sz w:val="20"/>
          <w:szCs w:val="20"/>
        </w:rPr>
        <w:t>Adoption of the Agenda and meeting arrangements</w:t>
      </w:r>
    </w:p>
    <w:p>
      <w:pPr>
        <w:pStyle w:val="Normal"/>
        <w:jc w:val="both"/>
        <w:rPr>
          <w:b/>
          <w:b/>
          <w:sz w:val="20"/>
          <w:szCs w:val="20"/>
        </w:rPr>
      </w:pPr>
      <w:r>
        <w:rPr>
          <w:b/>
          <w:sz w:val="20"/>
          <w:szCs w:val="20"/>
        </w:rPr>
      </w:r>
    </w:p>
    <w:p>
      <w:pPr>
        <w:pStyle w:val="Normal"/>
        <w:jc w:val="both"/>
        <w:rPr>
          <w:rFonts w:eastAsia="Times New Roman" w:cs="Times New Roman"/>
          <w:sz w:val="20"/>
          <w:szCs w:val="20"/>
        </w:rPr>
      </w:pPr>
      <w:r>
        <w:rPr>
          <w:sz w:val="20"/>
          <w:szCs w:val="20"/>
        </w:rPr>
        <w:t xml:space="preserve">Japan requested time for Dr. </w:t>
      </w:r>
      <w:r>
        <w:rPr>
          <w:rFonts w:eastAsia="Times New Roman" w:cs="Arial"/>
          <w:sz w:val="20"/>
          <w:szCs w:val="20"/>
          <w:shd w:fill="FFFFFF" w:val="clear"/>
        </w:rPr>
        <w:t>Kotaro Yokawa</w:t>
      </w:r>
      <w:r>
        <w:rPr>
          <w:sz w:val="20"/>
          <w:szCs w:val="20"/>
        </w:rPr>
        <w:t xml:space="preserve"> to make two presentations, reflecting his views on the North Atlantic albacore assessment and on the management strategy evaluation (MSE) for albacore. The European Union expressed their intention to introduce a </w:t>
      </w:r>
      <w:r>
        <w:rPr>
          <w:sz w:val="20"/>
          <w:szCs w:val="20"/>
          <w:lang w:eastAsia="ja-JP"/>
        </w:rPr>
        <w:t>document requesting clarification on matters related to</w:t>
      </w:r>
      <w:r>
        <w:rPr>
          <w:sz w:val="20"/>
          <w:szCs w:val="20"/>
        </w:rPr>
        <w:t xml:space="preserve"> caging operations for eastern Atlantic/Mediterranean bluefin tuna, under Other matters.</w:t>
      </w:r>
      <w:r>
        <w:rPr>
          <w:rFonts w:eastAsia="Times New Roman" w:cs="Times New Roman"/>
          <w:sz w:val="20"/>
          <w:szCs w:val="20"/>
        </w:rPr>
        <w:t xml:space="preserve"> </w:t>
      </w:r>
      <w:r>
        <w:rPr>
          <w:sz w:val="20"/>
          <w:szCs w:val="20"/>
        </w:rPr>
        <w:t xml:space="preserve">The United States requested that the Secretariat provide an update on the activities of the Kobe Working Group on MSE, under Other Matters.  The Agenda was adopted with these additions and is attached as </w:t>
      </w:r>
      <w:r>
        <w:rPr>
          <w:b/>
          <w:sz w:val="20"/>
          <w:szCs w:val="20"/>
        </w:rPr>
        <w:t>Appendix 1</w:t>
      </w:r>
      <w:r>
        <w:rPr>
          <w:sz w:val="20"/>
          <w:szCs w:val="20"/>
        </w:rPr>
        <w:t xml:space="preserve">.   </w:t>
      </w:r>
    </w:p>
    <w:p>
      <w:pPr>
        <w:pStyle w:val="Normal"/>
        <w:jc w:val="both"/>
        <w:rPr>
          <w:rFonts w:eastAsia="Times New Roman" w:cs="Times New Roman"/>
          <w:sz w:val="20"/>
          <w:szCs w:val="20"/>
        </w:rPr>
      </w:pPr>
      <w:r>
        <w:rPr>
          <w:rFonts w:eastAsia="Times New Roman" w:cs="Times New Roman"/>
          <w:sz w:val="20"/>
          <w:szCs w:val="20"/>
        </w:rPr>
      </w:r>
    </w:p>
    <w:p>
      <w:pPr>
        <w:pStyle w:val="Normal"/>
        <w:shd w:val="clear" w:color="auto" w:fill="FFFFFF"/>
        <w:jc w:val="both"/>
        <w:rPr>
          <w:rFonts w:eastAsia="Times New Roman" w:cs="Arial"/>
          <w:sz w:val="20"/>
          <w:szCs w:val="20"/>
        </w:rPr>
      </w:pPr>
      <w:r>
        <w:rPr>
          <w:rFonts w:eastAsia="Times New Roman" w:cs="Times New Roman"/>
          <w:sz w:val="20"/>
          <w:szCs w:val="20"/>
        </w:rPr>
        <w:t xml:space="preserve">The Executive Secretary introduced the Contracting Parties present at the meeting.  The Panel 2 members in attendance were: Algeria, Belize, Brazil, Canada, People’s Republic of China, European Union, Japan, Republic of Korea, Tunisia, and the United States. Other Contracting Parties in attendance were: </w:t>
      </w:r>
      <w:r>
        <w:rPr>
          <w:rFonts w:eastAsia="Times New Roman" w:cs="Arial"/>
          <w:sz w:val="20"/>
          <w:szCs w:val="20"/>
        </w:rPr>
        <w:t xml:space="preserve">Gabon, Republic of Guinea, Senegal, and </w:t>
      </w:r>
      <w:r>
        <w:rPr>
          <w:rFonts w:eastAsia="Times New Roman" w:cs="Arial"/>
          <w:sz w:val="20"/>
          <w:szCs w:val="20"/>
          <w:shd w:fill="FFFFFF" w:val="clear"/>
        </w:rPr>
        <w:t>Côte d'Ivoire</w:t>
      </w:r>
      <w:r>
        <w:rPr>
          <w:rFonts w:eastAsia="Times New Roman" w:cs="Arial"/>
          <w:sz w:val="20"/>
          <w:szCs w:val="20"/>
        </w:rPr>
        <w:t xml:space="preserve">.  </w:t>
      </w:r>
      <w:r>
        <w:rPr>
          <w:rFonts w:eastAsia="Times New Roman" w:cs="Times New Roman"/>
          <w:sz w:val="20"/>
          <w:szCs w:val="20"/>
        </w:rPr>
        <w:t xml:space="preserve">The Executive Secretary also introduced Chinese Taipei as a Cooperating non-Contracting Party, Entity, or Fishing Entity. Ecology Action Center (EAC), International Sustainable Seafood Foundation (ISSF), and Pew Charitable Trusts (Pew) participated as observers. The List of Participants is attached as </w:t>
      </w:r>
      <w:r>
        <w:rPr>
          <w:rFonts w:eastAsia="Times New Roman" w:cs="Times New Roman"/>
          <w:b/>
          <w:sz w:val="20"/>
          <w:szCs w:val="20"/>
        </w:rPr>
        <w:t>Appendix 2</w:t>
      </w:r>
      <w:r>
        <w:rPr>
          <w:rFonts w:eastAsia="Times New Roman" w:cs="Times New Roman"/>
          <w:sz w:val="20"/>
          <w:szCs w:val="20"/>
        </w:rPr>
        <w:t>.</w:t>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ListParagraph"/>
        <w:numPr>
          <w:ilvl w:val="0"/>
          <w:numId w:val="1"/>
        </w:numPr>
        <w:ind w:left="284" w:hanging="284"/>
        <w:jc w:val="both"/>
        <w:rPr>
          <w:b/>
          <w:b/>
          <w:sz w:val="20"/>
          <w:szCs w:val="20"/>
        </w:rPr>
      </w:pPr>
      <w:r>
        <w:rPr>
          <w:b/>
          <w:sz w:val="20"/>
          <w:szCs w:val="20"/>
        </w:rPr>
        <w:t>Consideration of the report of the 2016 ICCAT North and South Atlantic albacore stock assessment meeting</w:t>
      </w:r>
    </w:p>
    <w:p>
      <w:pPr>
        <w:pStyle w:val="Normal"/>
        <w:jc w:val="both"/>
        <w:rPr>
          <w:b/>
          <w:b/>
          <w:sz w:val="20"/>
          <w:szCs w:val="20"/>
        </w:rPr>
      </w:pPr>
      <w:r>
        <w:rPr>
          <w:b/>
          <w:sz w:val="20"/>
          <w:szCs w:val="20"/>
        </w:rPr>
      </w:r>
    </w:p>
    <w:p>
      <w:pPr>
        <w:pStyle w:val="Normal"/>
        <w:jc w:val="both"/>
        <w:rPr>
          <w:sz w:val="20"/>
          <w:szCs w:val="20"/>
        </w:rPr>
      </w:pPr>
      <w:r>
        <w:rPr>
          <w:sz w:val="20"/>
          <w:szCs w:val="20"/>
        </w:rPr>
        <w:t xml:space="preserve">The Chair of the Albacore Group of the Standing Committee on Research and Statistics (SCRS), Dr. Haritz Arrizabalaga, gave a presentation on the methods and outcomes of the North and South Atlantic albacore assessments conducted in May 2016. This presentation included an overview of the biology, fishery indicators, stock status, outlook, management recommendations, and recommendations on research and statistics.  He noted that the SCRS has not yet reviewed the report and that final management recommendations will be provided to the Commission this fall.  </w:t>
      </w:r>
    </w:p>
    <w:p>
      <w:pPr>
        <w:pStyle w:val="Normal"/>
        <w:jc w:val="both"/>
        <w:rPr>
          <w:b/>
          <w:b/>
          <w:sz w:val="20"/>
          <w:szCs w:val="20"/>
        </w:rPr>
      </w:pPr>
      <w:r>
        <w:rPr>
          <w:b/>
          <w:sz w:val="20"/>
          <w:szCs w:val="20"/>
        </w:rPr>
      </w:r>
    </w:p>
    <w:p>
      <w:pPr>
        <w:pStyle w:val="Normal"/>
        <w:jc w:val="both"/>
        <w:rPr>
          <w:sz w:val="20"/>
          <w:szCs w:val="20"/>
        </w:rPr>
      </w:pPr>
      <w:r>
        <w:rPr>
          <w:sz w:val="20"/>
          <w:szCs w:val="20"/>
        </w:rPr>
        <w:t>Dr. Kotaro Y</w:t>
      </w:r>
      <w:r>
        <w:rPr>
          <w:sz w:val="20"/>
          <w:szCs w:val="20"/>
          <w:lang w:eastAsia="ja-JP"/>
        </w:rPr>
        <w:t>o</w:t>
      </w:r>
      <w:r>
        <w:rPr>
          <w:sz w:val="20"/>
          <w:szCs w:val="20"/>
        </w:rPr>
        <w:t>kawa (Japan) gave a presentation entitled “A Proposal for Smoother, Faster and Safer Management of Atlantic Albacore: Lessons from Northern Albacore Assessment,” which he summarized as follows. The north Atlantic albacore stock assessment conducted in May 2016 showed a strong retrospective pattern, and was also largely affected by CPUEs used in the analysis. One of major reasons is that recent peak of CPUE, which is due to the strong year class, appeared in different years in different magnitudes. In the north Atlantic, each fleet covers only part of the stock and different CPUEs represent different age groups, which react in different ways to the year class. In these conditions, use of a production model analysis may be a serious problem. In addition, delay in the submission of CPUEs and shortage of Task II data contributed to this problem. In Dr. Y</w:t>
      </w:r>
      <w:r>
        <w:rPr>
          <w:sz w:val="20"/>
          <w:szCs w:val="20"/>
          <w:lang w:eastAsia="ja-JP"/>
        </w:rPr>
        <w:t>o</w:t>
      </w:r>
      <w:r>
        <w:rPr>
          <w:sz w:val="20"/>
          <w:szCs w:val="20"/>
        </w:rPr>
        <w:t xml:space="preserve">kawa’s view a full scale stock assessment should be re-conducted with improved data and CPUEs </w:t>
      </w:r>
      <w:r>
        <w:rPr>
          <w:sz w:val="20"/>
          <w:szCs w:val="20"/>
          <w:lang w:eastAsia="ja-JP"/>
        </w:rPr>
        <w:t xml:space="preserve">and then </w:t>
      </w:r>
      <w:r>
        <w:rPr>
          <w:sz w:val="20"/>
          <w:szCs w:val="20"/>
        </w:rPr>
        <w:t xml:space="preserve">the performance of a management strategy </w:t>
      </w:r>
      <w:r>
        <w:rPr>
          <w:sz w:val="20"/>
          <w:szCs w:val="20"/>
          <w:lang w:eastAsia="ja-JP"/>
        </w:rPr>
        <w:t xml:space="preserve">should be tested </w:t>
      </w:r>
      <w:r>
        <w:rPr>
          <w:sz w:val="20"/>
          <w:szCs w:val="20"/>
        </w:rPr>
        <w:t>using actual data.</w:t>
      </w:r>
    </w:p>
    <w:p>
      <w:pPr>
        <w:pStyle w:val="Normal"/>
        <w:jc w:val="both"/>
        <w:rPr>
          <w:sz w:val="20"/>
          <w:szCs w:val="20"/>
        </w:rPr>
      </w:pPr>
      <w:r>
        <w:rPr>
          <w:sz w:val="20"/>
          <w:szCs w:val="20"/>
        </w:rPr>
      </w:r>
    </w:p>
    <w:p>
      <w:pPr>
        <w:pStyle w:val="Normal"/>
        <w:jc w:val="both"/>
        <w:rPr>
          <w:sz w:val="20"/>
          <w:szCs w:val="20"/>
        </w:rPr>
      </w:pPr>
      <w:r>
        <w:rPr>
          <w:sz w:val="20"/>
          <w:szCs w:val="20"/>
        </w:rPr>
        <w:t xml:space="preserve">Dr. David Die, Chair of the SCRS, noted that this presentation represents one view, but there are other views within the Albacore Working Group. He explained that issues associated with the stock assessment </w:t>
      </w:r>
      <w:r>
        <w:rPr>
          <w:sz w:val="20"/>
          <w:szCs w:val="20"/>
          <w:lang w:eastAsia="ja-JP"/>
        </w:rPr>
        <w:t xml:space="preserve">should and </w:t>
      </w:r>
      <w:r>
        <w:rPr>
          <w:sz w:val="20"/>
          <w:szCs w:val="20"/>
        </w:rPr>
        <w:t xml:space="preserve">will be fully discussed within the SCRS through their usual process. </w:t>
      </w:r>
    </w:p>
    <w:p>
      <w:pPr>
        <w:pStyle w:val="Normal"/>
        <w:jc w:val="both"/>
        <w:rPr>
          <w:sz w:val="20"/>
          <w:szCs w:val="20"/>
        </w:rPr>
      </w:pPr>
      <w:r>
        <w:rPr>
          <w:sz w:val="20"/>
          <w:szCs w:val="20"/>
        </w:rPr>
      </w:r>
    </w:p>
    <w:p>
      <w:pPr>
        <w:pStyle w:val="Normal"/>
        <w:jc w:val="both"/>
        <w:rPr/>
      </w:pPr>
      <w:r>
        <w:rPr>
          <w:sz w:val="20"/>
          <w:szCs w:val="20"/>
        </w:rPr>
        <w:t xml:space="preserve">Dr. Die gave a presentation on advances in MSE within ICCAT. He contrasted the current ICCAT management process with the one envisioned under the application of harvest control rules (HCR) and MSE. He reminded the Panel that this process began in 2011 at the </w:t>
      </w:r>
      <w:hyperlink r:id="rId2">
        <w:r>
          <w:rPr>
            <w:rStyle w:val="InternetLink"/>
            <w:sz w:val="20"/>
            <w:szCs w:val="20"/>
          </w:rPr>
          <w:t>Second Meeting of the Working Group on the Future of ICCAT</w:t>
        </w:r>
      </w:hyperlink>
      <w:r>
        <w:rPr>
          <w:sz w:val="20"/>
          <w:szCs w:val="20"/>
        </w:rPr>
        <w:t xml:space="preserve">, and continued through discussions at the 2013 </w:t>
      </w:r>
      <w:hyperlink r:id="rId3">
        <w:r>
          <w:rPr>
            <w:rStyle w:val="InternetLink"/>
            <w:sz w:val="20"/>
            <w:szCs w:val="20"/>
          </w:rPr>
          <w:t>Atlantic Albacore stock assessment meeting</w:t>
        </w:r>
      </w:hyperlink>
      <w:r>
        <w:rPr>
          <w:sz w:val="20"/>
          <w:szCs w:val="20"/>
        </w:rPr>
        <w:t xml:space="preserve">, the 2013 </w:t>
      </w:r>
      <w:hyperlink r:id="rId4">
        <w:r>
          <w:rPr>
            <w:rStyle w:val="InternetLink"/>
            <w:sz w:val="20"/>
            <w:szCs w:val="20"/>
          </w:rPr>
          <w:t>Meeting of the ICCAT Working Group on Stock Assessment Methods</w:t>
        </w:r>
      </w:hyperlink>
      <w:r>
        <w:rPr>
          <w:sz w:val="20"/>
          <w:szCs w:val="20"/>
        </w:rPr>
        <w:t xml:space="preserve">, and the adoption of Recs. [15-04] and [15-07] by the Commission.  Dr. Die reviewed the basic stages of an MSE and defined the relative roles of the Commission and the SCRS in this process.     </w:t>
      </w:r>
    </w:p>
    <w:p>
      <w:pPr>
        <w:pStyle w:val="Normal"/>
        <w:jc w:val="both"/>
        <w:rPr>
          <w:sz w:val="20"/>
          <w:szCs w:val="20"/>
        </w:rPr>
      </w:pPr>
      <w:r>
        <w:rPr>
          <w:sz w:val="20"/>
          <w:szCs w:val="20"/>
        </w:rPr>
      </w:r>
    </w:p>
    <w:p>
      <w:pPr>
        <w:pStyle w:val="Normal"/>
        <w:jc w:val="both"/>
        <w:rPr>
          <w:sz w:val="20"/>
          <w:szCs w:val="20"/>
        </w:rPr>
      </w:pPr>
      <w:r>
        <w:rPr>
          <w:sz w:val="20"/>
          <w:szCs w:val="20"/>
        </w:rPr>
        <w:t xml:space="preserve">With the application of HCR/MSE, there will be some changes in the way the SCRS conducts assessments and provides advice. There would still be annual updates of the information. Stock assessments would be conducted every 5-10 years, and the objectives of the assessment would be expanded to include a review of the HCR.  At 1-3 year intervals ICCAT will use a management strategy to interpret stock status and develop management advice, the result will be a very specific and pre-agreed recommendation on the TAC. This new system has many advantages, such as relieving some of the pressure for frequent stock assessments, more time for strategic research to support the assessment, and a more predictable path to management recommendations.  </w:t>
      </w:r>
    </w:p>
    <w:p>
      <w:pPr>
        <w:pStyle w:val="Normal"/>
        <w:jc w:val="both"/>
        <w:rPr>
          <w:sz w:val="20"/>
          <w:szCs w:val="20"/>
        </w:rPr>
      </w:pPr>
      <w:r>
        <w:rPr>
          <w:sz w:val="20"/>
          <w:szCs w:val="20"/>
        </w:rPr>
      </w:r>
    </w:p>
    <w:p>
      <w:pPr>
        <w:pStyle w:val="Normal"/>
        <w:jc w:val="both"/>
        <w:rPr>
          <w:sz w:val="20"/>
          <w:szCs w:val="20"/>
        </w:rPr>
      </w:pPr>
      <w:r>
        <w:rPr>
          <w:sz w:val="20"/>
          <w:szCs w:val="20"/>
        </w:rPr>
        <w:t xml:space="preserve">Dr. Die emphasized that this is an ongoing and iterative process. There will be a set of scientific outputs through simulation but also a need for regular dialogue between scientists and managers, which will ultimately lead to the development of a management strategy including HCR. A management strategy has the following components: data collection, indicators of stock status, and the HCR.  He explained further that the HCR determines actions that will be taken by the Commission on the basis of stock status.  This could be a simple proportion of a defined reference point, or it could be something more complex. </w:t>
      </w:r>
    </w:p>
    <w:p>
      <w:pPr>
        <w:pStyle w:val="Normal"/>
        <w:jc w:val="both"/>
        <w:rPr>
          <w:sz w:val="20"/>
          <w:szCs w:val="20"/>
        </w:rPr>
      </w:pPr>
      <w:r>
        <w:rPr>
          <w:sz w:val="20"/>
          <w:szCs w:val="20"/>
        </w:rPr>
      </w:r>
    </w:p>
    <w:p>
      <w:pPr>
        <w:pStyle w:val="Normal"/>
        <w:jc w:val="both"/>
        <w:rPr>
          <w:sz w:val="20"/>
          <w:szCs w:val="20"/>
        </w:rPr>
      </w:pPr>
      <w:r>
        <w:rPr>
          <w:sz w:val="20"/>
          <w:szCs w:val="20"/>
        </w:rPr>
        <w:t xml:space="preserve">The SCRS will test the performance of alternative management strategies, including HCRs, through an operating model that provides the best description of how the simulations perform. Uncertainties can be taken into account within the simulations. The SCRS evaluates candidate HCRs in light of the performance indicators determined by the Commission, which correspond to management objectives for the stock.  Based on the outcomes of these analyses, the Commission selects an HCR, the total allowable catch (TAC) is implemented, and the CPCs continue to report data. It is up to the Commission to decide which HCR performs the best in terms of balancing multiple management objectives.  </w:t>
      </w:r>
    </w:p>
    <w:p>
      <w:pPr>
        <w:pStyle w:val="Normal"/>
        <w:jc w:val="both"/>
        <w:rPr>
          <w:sz w:val="20"/>
          <w:szCs w:val="20"/>
        </w:rPr>
      </w:pPr>
      <w:r>
        <w:rPr>
          <w:sz w:val="20"/>
          <w:szCs w:val="20"/>
        </w:rPr>
      </w:r>
    </w:p>
    <w:p>
      <w:pPr>
        <w:pStyle w:val="Normal"/>
        <w:jc w:val="both"/>
        <w:rPr>
          <w:sz w:val="20"/>
          <w:szCs w:val="20"/>
          <w:lang w:eastAsia="ja-JP"/>
        </w:rPr>
      </w:pPr>
      <w:r>
        <w:rPr>
          <w:sz w:val="20"/>
          <w:szCs w:val="20"/>
        </w:rPr>
        <w:t xml:space="preserve">Dr. Die presented a summary of the NALB MSE work conducted by Dr. Gorka Merino </w:t>
      </w:r>
      <w:r>
        <w:rPr>
          <w:i/>
          <w:sz w:val="20"/>
          <w:szCs w:val="20"/>
        </w:rPr>
        <w:t xml:space="preserve">et al.  </w:t>
      </w:r>
      <w:r>
        <w:rPr>
          <w:sz w:val="20"/>
          <w:szCs w:val="20"/>
        </w:rPr>
        <w:t>This work was undertaken with funding from the EU and support from the Secretariat, as described in SCRS/2016/015.  The authors conducted a full set of simulations</w:t>
      </w:r>
      <w:r>
        <w:rPr>
          <w:sz w:val="20"/>
          <w:szCs w:val="20"/>
          <w:lang w:eastAsia="ja-JP"/>
        </w:rPr>
        <w:t xml:space="preserve"> where m</w:t>
      </w:r>
      <w:r>
        <w:rPr>
          <w:sz w:val="20"/>
          <w:szCs w:val="20"/>
        </w:rPr>
        <w:t>ultiple HCRs were evaluated on the basis of the combination of different values for B threshold, F target and a B limit of 0.4B</w:t>
      </w:r>
      <w:r>
        <w:rPr>
          <w:sz w:val="20"/>
          <w:szCs w:val="20"/>
          <w:vertAlign w:val="subscript"/>
        </w:rPr>
        <w:t>MSY</w:t>
      </w:r>
      <w:r>
        <w:rPr>
          <w:sz w:val="20"/>
          <w:szCs w:val="20"/>
        </w:rPr>
        <w:t xml:space="preserve">.  </w:t>
      </w:r>
    </w:p>
    <w:p>
      <w:pPr>
        <w:pStyle w:val="Normal"/>
        <w:jc w:val="both"/>
        <w:rPr>
          <w:sz w:val="20"/>
          <w:szCs w:val="20"/>
        </w:rPr>
      </w:pPr>
      <w:r>
        <w:rPr>
          <w:sz w:val="20"/>
          <w:szCs w:val="20"/>
        </w:rPr>
      </w:r>
    </w:p>
    <w:p>
      <w:pPr>
        <w:pStyle w:val="Normal"/>
        <w:jc w:val="both"/>
        <w:rPr>
          <w:sz w:val="20"/>
          <w:szCs w:val="20"/>
        </w:rPr>
      </w:pPr>
      <w:r>
        <w:rPr>
          <w:sz w:val="20"/>
          <w:szCs w:val="20"/>
        </w:rPr>
        <w:t xml:space="preserve">A Pareto frontier graph can be used to illustrate the tradeoffs between two performance indicators (e.g., mean catch and the probability of the stock being in the green zone). The area of non-feasibility </w:t>
      </w:r>
      <w:r>
        <w:rPr>
          <w:sz w:val="20"/>
          <w:szCs w:val="20"/>
          <w:lang w:eastAsia="ja-JP"/>
        </w:rPr>
        <w:t xml:space="preserve">in the graph </w:t>
      </w:r>
      <w:r>
        <w:rPr>
          <w:sz w:val="20"/>
          <w:szCs w:val="20"/>
        </w:rPr>
        <w:t xml:space="preserve">shows that it is not possible to achieve </w:t>
      </w:r>
      <w:r>
        <w:rPr>
          <w:sz w:val="20"/>
          <w:szCs w:val="20"/>
          <w:lang w:eastAsia="ja-JP"/>
        </w:rPr>
        <w:t>both</w:t>
      </w:r>
      <w:r>
        <w:rPr>
          <w:sz w:val="20"/>
          <w:szCs w:val="20"/>
        </w:rPr>
        <w:t xml:space="preserve"> management objectives with high certainty simultaneously. Butthe HCR performs best when it is as close to the frontier as possible. One limitation of the Pareto plot is that it can present the results of only two performance indicators at a time. Spider graphs are another alternative to represent the analysis of how multiple performance indicators are being met. When approaching the edge of the spider graph, the HCR is closer to achieving multiple management objectives.  </w:t>
      </w:r>
    </w:p>
    <w:p>
      <w:pPr>
        <w:pStyle w:val="Normal"/>
        <w:jc w:val="both"/>
        <w:rPr>
          <w:sz w:val="20"/>
          <w:szCs w:val="20"/>
        </w:rPr>
      </w:pPr>
      <w:r>
        <w:rPr>
          <w:sz w:val="20"/>
          <w:szCs w:val="20"/>
        </w:rPr>
      </w:r>
    </w:p>
    <w:p>
      <w:pPr>
        <w:pStyle w:val="Normal"/>
        <w:jc w:val="both"/>
        <w:rPr>
          <w:sz w:val="20"/>
          <w:szCs w:val="20"/>
        </w:rPr>
      </w:pPr>
      <w:r>
        <w:rPr>
          <w:sz w:val="20"/>
          <w:szCs w:val="20"/>
        </w:rPr>
        <w:t xml:space="preserve">Dr. Die presented an outline of next steps. He emphasized that the scientific work that might be accomplished between now and the SCRS meeting is limited and dependent upon additional funding.  However, he explained that complications in the stock assessment don’t prevent further progress on MSE work. To inform this work, Dr. Die asked the Panel to provide input on a series of questions beginning with the list of performance indicators used by Merino </w:t>
      </w:r>
      <w:r>
        <w:rPr>
          <w:i/>
          <w:sz w:val="20"/>
          <w:szCs w:val="20"/>
        </w:rPr>
        <w:t>et al</w:t>
      </w:r>
      <w:r>
        <w:rPr>
          <w:sz w:val="20"/>
          <w:szCs w:val="20"/>
        </w:rPr>
        <w:t xml:space="preserve">.  </w:t>
      </w:r>
      <w:r>
        <w:rPr>
          <w:sz w:val="20"/>
          <w:szCs w:val="20"/>
          <w:lang w:eastAsia="ja-JP"/>
        </w:rPr>
        <w:t>The CPCs appreciated Dr. Die’s presentation and congratulated him on his clarity, including some who noted the importance he identified on the scientist/manager dialogue.</w:t>
      </w:r>
      <w:r>
        <w:rPr>
          <w:sz w:val="20"/>
          <w:szCs w:val="20"/>
        </w:rPr>
        <w:t> </w:t>
      </w:r>
    </w:p>
    <w:p>
      <w:pPr>
        <w:pStyle w:val="Normal"/>
        <w:jc w:val="both"/>
        <w:rPr>
          <w:sz w:val="20"/>
          <w:szCs w:val="20"/>
        </w:rPr>
      </w:pPr>
      <w:r>
        <w:rPr>
          <w:sz w:val="20"/>
          <w:szCs w:val="20"/>
        </w:rPr>
      </w:r>
    </w:p>
    <w:p>
      <w:pPr>
        <w:pStyle w:val="Normal"/>
        <w:jc w:val="both"/>
        <w:rPr>
          <w:sz w:val="20"/>
          <w:szCs w:val="20"/>
        </w:rPr>
      </w:pPr>
      <w:r>
        <w:rPr>
          <w:sz w:val="20"/>
          <w:szCs w:val="20"/>
        </w:rPr>
        <w:t xml:space="preserve">Dr. </w:t>
      </w:r>
      <w:r>
        <w:rPr>
          <w:sz w:val="20"/>
          <w:szCs w:val="20"/>
          <w:lang w:eastAsia="ja-JP"/>
        </w:rPr>
        <w:t>Yok</w:t>
      </w:r>
      <w:r>
        <w:rPr>
          <w:sz w:val="20"/>
          <w:szCs w:val="20"/>
        </w:rPr>
        <w:t xml:space="preserve">awa (Japan) presented a comparison of MSE processes between north albacore and CCSBT </w:t>
      </w:r>
      <w:r>
        <w:rPr>
          <w:sz w:val="20"/>
          <w:szCs w:val="20"/>
          <w:lang w:eastAsia="ja-JP"/>
        </w:rPr>
        <w:t xml:space="preserve">for </w:t>
      </w:r>
      <w:r>
        <w:rPr>
          <w:sz w:val="20"/>
          <w:szCs w:val="20"/>
        </w:rPr>
        <w:t xml:space="preserve">southern bluefin tuna, which he summarized as follows. In his view, the study suggests the importance of a performance check of the management procedure using actual data, because available indices for north albacore are highly fluctuating and some show contradicting trends. Assessment results show a strong and inconsistent retrospective pattern. CCSBT is using a simple age-structured model and feedback style of HCR, which would be useful to test for the north albacore MSE in the future. Dr. </w:t>
      </w:r>
      <w:r>
        <w:rPr>
          <w:sz w:val="20"/>
          <w:szCs w:val="20"/>
          <w:lang w:eastAsia="ja-JP"/>
        </w:rPr>
        <w:t>Yok</w:t>
      </w:r>
      <w:r>
        <w:rPr>
          <w:sz w:val="20"/>
          <w:szCs w:val="20"/>
        </w:rPr>
        <w:t xml:space="preserve">awa suggested that these problems should be solved before further study of the north Atlantic albacore MSE because any performance checks of the management procedure using actual data would not work well under current circumstances. He also noted that continued feedback between the SCRS and Commission is important for the finalization of MSE. While Dr. </w:t>
      </w:r>
      <w:r>
        <w:rPr>
          <w:sz w:val="20"/>
          <w:szCs w:val="20"/>
          <w:lang w:eastAsia="ja-JP"/>
        </w:rPr>
        <w:t>Yok</w:t>
      </w:r>
      <w:r>
        <w:rPr>
          <w:sz w:val="20"/>
          <w:szCs w:val="20"/>
        </w:rPr>
        <w:t xml:space="preserve">awa’s presentation offered an interesting perspective, several CPCs stated that it would be more appropriate to hold these types of scientific debates within the SCRS process.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
          <w:sz w:val="20"/>
          <w:szCs w:val="20"/>
        </w:rPr>
      </w:pPr>
      <w:r>
        <w:rPr>
          <w:b/>
          <w:sz w:val="20"/>
          <w:szCs w:val="20"/>
        </w:rPr>
        <w:t xml:space="preserve">5.  Consideration of candidate reference points for northern albacore identified by SCRS and </w:t>
      </w:r>
      <w:r>
        <w:rPr>
          <w:b/>
          <w:sz w:val="20"/>
          <w:szCs w:val="20"/>
          <w:lang w:eastAsia="ja-JP"/>
        </w:rPr>
        <w:t>d</w:t>
      </w:r>
      <w:r>
        <w:rPr>
          <w:b/>
          <w:sz w:val="20"/>
          <w:szCs w:val="20"/>
        </w:rPr>
        <w:t xml:space="preserve">evelopment of </w:t>
      </w:r>
      <w:r>
        <w:rPr>
          <w:b/>
          <w:sz w:val="20"/>
          <w:szCs w:val="20"/>
          <w:lang w:eastAsia="ja-JP"/>
        </w:rPr>
        <w:t>h</w:t>
      </w:r>
      <w:r>
        <w:rPr>
          <w:b/>
          <w:sz w:val="20"/>
          <w:szCs w:val="20"/>
        </w:rPr>
        <w:t xml:space="preserve">arvest </w:t>
      </w:r>
      <w:r>
        <w:rPr>
          <w:b/>
          <w:sz w:val="20"/>
          <w:szCs w:val="20"/>
          <w:lang w:eastAsia="ja-JP"/>
        </w:rPr>
        <w:t>c</w:t>
      </w:r>
      <w:r>
        <w:rPr>
          <w:b/>
          <w:sz w:val="20"/>
          <w:szCs w:val="20"/>
        </w:rPr>
        <w:t xml:space="preserve">ontrol </w:t>
      </w:r>
      <w:r>
        <w:rPr>
          <w:b/>
          <w:sz w:val="20"/>
          <w:szCs w:val="20"/>
          <w:lang w:eastAsia="ja-JP"/>
        </w:rPr>
        <w:t>r</w:t>
      </w:r>
      <w:r>
        <w:rPr>
          <w:b/>
          <w:sz w:val="20"/>
          <w:szCs w:val="20"/>
        </w:rPr>
        <w:t>ules</w:t>
      </w:r>
    </w:p>
    <w:p>
      <w:pPr>
        <w:pStyle w:val="ListParagraph"/>
        <w:jc w:val="both"/>
        <w:rPr>
          <w:b/>
          <w:b/>
          <w:sz w:val="20"/>
          <w:szCs w:val="20"/>
        </w:rPr>
      </w:pPr>
      <w:r>
        <w:rPr>
          <w:b/>
          <w:sz w:val="20"/>
          <w:szCs w:val="20"/>
        </w:rPr>
      </w:r>
    </w:p>
    <w:p>
      <w:pPr>
        <w:pStyle w:val="Normal"/>
        <w:jc w:val="both"/>
        <w:rPr>
          <w:sz w:val="20"/>
          <w:szCs w:val="20"/>
        </w:rPr>
      </w:pPr>
      <w:r>
        <w:rPr>
          <w:sz w:val="20"/>
          <w:szCs w:val="20"/>
        </w:rPr>
        <w:t xml:space="preserve">Dr. Die asked the Panel to provide feedback on a series of questions.   </w:t>
      </w:r>
    </w:p>
    <w:p>
      <w:pPr>
        <w:pStyle w:val="Normal"/>
        <w:jc w:val="both"/>
        <w:rPr>
          <w:sz w:val="20"/>
          <w:szCs w:val="20"/>
        </w:rPr>
      </w:pPr>
      <w:r>
        <w:rPr>
          <w:sz w:val="20"/>
          <w:szCs w:val="20"/>
        </w:rPr>
      </w:r>
    </w:p>
    <w:p>
      <w:pPr>
        <w:pStyle w:val="ListParagraph"/>
        <w:numPr>
          <w:ilvl w:val="0"/>
          <w:numId w:val="2"/>
        </w:numPr>
        <w:ind w:left="284" w:hanging="284"/>
        <w:jc w:val="both"/>
        <w:rPr>
          <w:sz w:val="20"/>
          <w:szCs w:val="20"/>
        </w:rPr>
      </w:pPr>
      <w:r>
        <w:rPr>
          <w:sz w:val="20"/>
          <w:szCs w:val="20"/>
        </w:rPr>
        <w:t>Is the current list of performance indicators enough/excessive?</w:t>
      </w:r>
    </w:p>
    <w:p>
      <w:pPr>
        <w:pStyle w:val="Normal"/>
        <w:jc w:val="both"/>
        <w:rPr>
          <w:sz w:val="20"/>
          <w:szCs w:val="20"/>
        </w:rPr>
      </w:pPr>
      <w:r>
        <w:rPr>
          <w:sz w:val="20"/>
          <w:szCs w:val="20"/>
        </w:rPr>
      </w:r>
    </w:p>
    <w:p>
      <w:pPr>
        <w:pStyle w:val="Normal"/>
        <w:jc w:val="both"/>
        <w:rPr>
          <w:sz w:val="20"/>
          <w:szCs w:val="20"/>
        </w:rPr>
      </w:pPr>
      <w:r>
        <w:rPr>
          <w:sz w:val="20"/>
          <w:szCs w:val="20"/>
        </w:rPr>
        <w:t>There was extensive discussion of the performance indicators used in the north</w:t>
      </w:r>
      <w:r>
        <w:rPr>
          <w:sz w:val="20"/>
          <w:szCs w:val="20"/>
          <w:lang w:eastAsia="ja-JP"/>
        </w:rPr>
        <w:t>ern</w:t>
      </w:r>
      <w:r>
        <w:rPr>
          <w:sz w:val="20"/>
          <w:szCs w:val="20"/>
        </w:rPr>
        <w:t xml:space="preserve"> albacore MSE.  This set of indicators was developed by Merino </w:t>
      </w:r>
      <w:r>
        <w:rPr>
          <w:i/>
          <w:sz w:val="20"/>
          <w:szCs w:val="20"/>
        </w:rPr>
        <w:t>et al</w:t>
      </w:r>
      <w:r>
        <w:rPr>
          <w:sz w:val="20"/>
          <w:szCs w:val="20"/>
        </w:rPr>
        <w:t>., based on the management objectives established in Rec. 15-04. Dr. Die explained how each performance indicator was derived and on what basis it is measured. The European Union introduced a proposal for a revised Rec. 15-04, ¨</w:t>
      </w:r>
      <w:r>
        <w:rPr>
          <w:i/>
          <w:sz w:val="20"/>
          <w:szCs w:val="20"/>
        </w:rPr>
        <w:t>Draft recommendation by ICCAT to establish harvest control rules for the north Atlantic albacore stock</w:t>
      </w:r>
      <w:r>
        <w:rPr>
          <w:sz w:val="20"/>
          <w:szCs w:val="20"/>
        </w:rPr>
        <w:t>¨ (</w:t>
      </w:r>
      <w:r>
        <w:rPr>
          <w:b/>
          <w:sz w:val="20"/>
          <w:szCs w:val="20"/>
        </w:rPr>
        <w:t>Appendix 3</w:t>
      </w:r>
      <w:r>
        <w:rPr>
          <w:sz w:val="20"/>
          <w:szCs w:val="20"/>
        </w:rPr>
        <w:t xml:space="preserve">), which contained a modified list of performance indicators in </w:t>
      </w:r>
      <w:r>
        <w:rPr>
          <w:b/>
          <w:sz w:val="20"/>
          <w:szCs w:val="20"/>
        </w:rPr>
        <w:t>Annex 2 to Appendix 3</w:t>
      </w:r>
      <w:r>
        <w:rPr>
          <w:sz w:val="20"/>
          <w:szCs w:val="20"/>
        </w:rPr>
        <w:t xml:space="preserve">. They explained that this Annex was inspired by the table of performance indicators adopted by the IOTC for skipjack. The Panel discussed and debated the usefulness of each indicator. Results of this discussion are reflected in an amended list of performance indicators, </w:t>
      </w:r>
      <w:r>
        <w:rPr>
          <w:sz w:val="20"/>
          <w:szCs w:val="20"/>
          <w:lang w:eastAsia="ja-JP"/>
        </w:rPr>
        <w:t xml:space="preserve">agreed by Panel 2, </w:t>
      </w:r>
      <w:r>
        <w:rPr>
          <w:sz w:val="20"/>
          <w:szCs w:val="20"/>
        </w:rPr>
        <w:t>¨</w:t>
      </w:r>
      <w:r>
        <w:rPr>
          <w:i/>
          <w:sz w:val="20"/>
          <w:szCs w:val="20"/>
        </w:rPr>
        <w:t>Performance indicators from SCRS/2016/015 and PA2-003, Annex 2¨</w:t>
      </w:r>
      <w:r>
        <w:rPr>
          <w:sz w:val="20"/>
          <w:szCs w:val="20"/>
        </w:rPr>
        <w:t xml:space="preserve"> (</w:t>
      </w:r>
      <w:r>
        <w:rPr>
          <w:b/>
          <w:sz w:val="20"/>
          <w:szCs w:val="20"/>
        </w:rPr>
        <w:t>Appendix 4</w:t>
      </w:r>
      <w:r>
        <w:rPr>
          <w:sz w:val="20"/>
          <w:szCs w:val="20"/>
        </w:rPr>
        <w:t xml:space="preserve">). </w:t>
      </w:r>
      <w:r>
        <w:rPr>
          <w:sz w:val="20"/>
          <w:szCs w:val="20"/>
          <w:lang w:eastAsia="ja-JP"/>
        </w:rPr>
        <w:t xml:space="preserve"> This document will be referred to the SCRS. </w:t>
      </w:r>
      <w:r>
        <w:rPr>
          <w:sz w:val="20"/>
          <w:szCs w:val="20"/>
        </w:rPr>
        <w:t xml:space="preserve">  </w:t>
      </w:r>
    </w:p>
    <w:p>
      <w:pPr>
        <w:pStyle w:val="Normal"/>
        <w:jc w:val="both"/>
        <w:rPr>
          <w:sz w:val="20"/>
          <w:szCs w:val="20"/>
        </w:rPr>
      </w:pPr>
      <w:r>
        <w:rPr>
          <w:sz w:val="20"/>
          <w:szCs w:val="20"/>
        </w:rPr>
      </w:r>
    </w:p>
    <w:p>
      <w:pPr>
        <w:pStyle w:val="Normal"/>
        <w:jc w:val="both"/>
        <w:rPr>
          <w:sz w:val="20"/>
          <w:szCs w:val="20"/>
        </w:rPr>
      </w:pPr>
      <w:r>
        <w:rPr>
          <w:sz w:val="20"/>
          <w:szCs w:val="20"/>
        </w:rPr>
        <w:t xml:space="preserve">There was interest in exploring ways to limit the variability of the catch from one year or management period to the next, both in cases of increasing and decreasing TAC. Under the current performance indicators, the SCRS would report the variability of catch under various HCRs and let the Commission decide which is preferable. It is also possible to develop an HCR that explicitly limits the variability of catch so that if the biomass changes enough, the resulting adjustment to the TAC would be limited (e.g., never change &gt;10% or 20% in one year or management period). However, the current simulations are not set up to do this. Rather, the concept of limiting the variability of catch is considered a constraint that would result in the elimination of a particular candidate HCR that the Commission considers undesirable due to too much variability in catch. </w:t>
      </w:r>
    </w:p>
    <w:p>
      <w:pPr>
        <w:pStyle w:val="Normal"/>
        <w:jc w:val="both"/>
        <w:rPr>
          <w:sz w:val="20"/>
          <w:szCs w:val="20"/>
        </w:rPr>
      </w:pPr>
      <w:r>
        <w:rPr>
          <w:sz w:val="20"/>
          <w:szCs w:val="20"/>
        </w:rPr>
      </w:r>
    </w:p>
    <w:p>
      <w:pPr>
        <w:pStyle w:val="ListParagraph"/>
        <w:numPr>
          <w:ilvl w:val="0"/>
          <w:numId w:val="2"/>
        </w:numPr>
        <w:ind w:left="284" w:hanging="284"/>
        <w:jc w:val="both"/>
        <w:rPr>
          <w:sz w:val="20"/>
          <w:szCs w:val="20"/>
        </w:rPr>
      </w:pPr>
      <w:r>
        <w:rPr>
          <w:sz w:val="20"/>
          <w:szCs w:val="20"/>
        </w:rPr>
        <w:t>Are the data/method components of the tested MS appropriate?</w:t>
      </w:r>
    </w:p>
    <w:p>
      <w:pPr>
        <w:pStyle w:val="ListParagraph"/>
        <w:jc w:val="both"/>
        <w:rPr>
          <w:sz w:val="20"/>
          <w:szCs w:val="20"/>
        </w:rPr>
      </w:pPr>
      <w:r>
        <w:rPr>
          <w:sz w:val="20"/>
          <w:szCs w:val="20"/>
        </w:rPr>
      </w:r>
    </w:p>
    <w:p>
      <w:pPr>
        <w:pStyle w:val="Normal"/>
        <w:jc w:val="both"/>
        <w:rPr>
          <w:sz w:val="20"/>
          <w:szCs w:val="20"/>
        </w:rPr>
      </w:pPr>
      <w:r>
        <w:rPr>
          <w:sz w:val="20"/>
          <w:szCs w:val="20"/>
        </w:rPr>
        <w:t xml:space="preserve">Several CPCs noted the importance of reliable and stable assessment results. Dr. Die was asked: is it premature to do MSE given some of the questions regarding the data and methods used in the assessment?  Or can the necessary work to improve the stock assessment be conducted in parallel with MSE? Dr. Die responded that there will always be uncertainty regarding whether a particular CPUE tracks biomass.   These kinds of factors can be taken into account in the MSE process. What must be done is to characterize the variability and incorporate this in the simulation of the MSE.  This has been done to a certain extent, but could be done to a greater extent in the future. </w:t>
      </w:r>
    </w:p>
    <w:p>
      <w:pPr>
        <w:pStyle w:val="Normal"/>
        <w:jc w:val="both"/>
        <w:rPr>
          <w:sz w:val="20"/>
          <w:szCs w:val="20"/>
        </w:rPr>
      </w:pPr>
      <w:r>
        <w:rPr>
          <w:sz w:val="20"/>
          <w:szCs w:val="20"/>
        </w:rPr>
      </w:r>
    </w:p>
    <w:p>
      <w:pPr>
        <w:pStyle w:val="Normal"/>
        <w:jc w:val="both"/>
        <w:rPr>
          <w:sz w:val="20"/>
          <w:szCs w:val="20"/>
        </w:rPr>
      </w:pPr>
      <w:r>
        <w:rPr>
          <w:sz w:val="20"/>
          <w:szCs w:val="20"/>
        </w:rPr>
        <w:t>In response to some questions about the north</w:t>
      </w:r>
      <w:r>
        <w:rPr>
          <w:sz w:val="20"/>
          <w:szCs w:val="20"/>
          <w:lang w:eastAsia="ja-JP"/>
        </w:rPr>
        <w:t>ern</w:t>
      </w:r>
      <w:r>
        <w:rPr>
          <w:sz w:val="20"/>
          <w:szCs w:val="20"/>
        </w:rPr>
        <w:t xml:space="preserve"> albacore CPUEs, Dr. Die explained that the current CPUEs were used to fit a production model. While the interannual variability and geographic variability has some impact, it is the overall trend that primarily affects the estimation of stock status in the case of north</w:t>
      </w:r>
      <w:r>
        <w:rPr>
          <w:sz w:val="20"/>
          <w:szCs w:val="20"/>
          <w:lang w:eastAsia="ja-JP"/>
        </w:rPr>
        <w:t>ern</w:t>
      </w:r>
      <w:r>
        <w:rPr>
          <w:sz w:val="20"/>
          <w:szCs w:val="20"/>
        </w:rPr>
        <w:t xml:space="preserve"> albacore. By contrast, in the case of CCSBT, there is a much stronger link between variations in CPUE and variations in TAC for southern bluefin tuna.   </w:t>
      </w:r>
    </w:p>
    <w:p>
      <w:pPr>
        <w:pStyle w:val="ListParagraph"/>
        <w:jc w:val="both"/>
        <w:rPr>
          <w:sz w:val="20"/>
          <w:szCs w:val="20"/>
        </w:rPr>
      </w:pPr>
      <w:r>
        <w:rPr>
          <w:sz w:val="20"/>
          <w:szCs w:val="20"/>
        </w:rPr>
      </w:r>
    </w:p>
    <w:p>
      <w:pPr>
        <w:pStyle w:val="Normal"/>
        <w:jc w:val="both"/>
        <w:rPr>
          <w:sz w:val="20"/>
          <w:szCs w:val="20"/>
        </w:rPr>
      </w:pPr>
      <w:r>
        <w:rPr>
          <w:sz w:val="20"/>
          <w:szCs w:val="20"/>
        </w:rPr>
        <w:t>It was noted that the north</w:t>
      </w:r>
      <w:r>
        <w:rPr>
          <w:sz w:val="20"/>
          <w:szCs w:val="20"/>
          <w:lang w:eastAsia="ja-JP"/>
        </w:rPr>
        <w:t>ern</w:t>
      </w:r>
      <w:r>
        <w:rPr>
          <w:sz w:val="20"/>
          <w:szCs w:val="20"/>
        </w:rPr>
        <w:t xml:space="preserve"> albacore MSE has not addressed the issue of exceptional circumstances. The determination of when exceptional circumstances can be invoked depends in part on whether the testing of the robustness of management strategies considers a shift in productivity. One source of uncertainty is whether there is a relationship between CPUE and abundance. If CPUE is completely unrelated to biomass, that would be an exceptional circumstance.</w:t>
      </w:r>
    </w:p>
    <w:p>
      <w:pPr>
        <w:pStyle w:val="ListParagraph"/>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 xml:space="preserve">In response to a question about the use of biomass vs. spawning stock biomass (SSB) in the simulations, Dr. Die explained that the production model does not allow the determination of SSB.  However, scientists make the assumption that biomass and SSB are linked, so if the stock is managed on the basis of biomass, it will achieve the correct SSB. It is also possible to add a performance metric that corresponds to the level of SSB.  </w:t>
      </w:r>
    </w:p>
    <w:p>
      <w:pPr>
        <w:pStyle w:val="Normal"/>
        <w:jc w:val="both"/>
        <w:rPr>
          <w:sz w:val="20"/>
          <w:szCs w:val="20"/>
        </w:rPr>
      </w:pPr>
      <w:r>
        <w:rPr>
          <w:sz w:val="20"/>
          <w:szCs w:val="20"/>
        </w:rPr>
      </w:r>
    </w:p>
    <w:p>
      <w:pPr>
        <w:pStyle w:val="Normal"/>
        <w:jc w:val="both"/>
        <w:rPr>
          <w:sz w:val="20"/>
          <w:szCs w:val="20"/>
          <w:lang w:eastAsia="ja-JP"/>
        </w:rPr>
      </w:pPr>
      <w:r>
        <w:rPr>
          <w:sz w:val="20"/>
          <w:szCs w:val="20"/>
        </w:rPr>
        <w:t xml:space="preserve">From his perspective as SCRS Chair, Dr. Die advised that the MSE process should not be delayed until we have the perfect assessment because there will always be uncertainties and doubts. At every assessment, the SCRS learns more about stock dynamics.  The 2016 assessment revealed things that may lead us to make some changes to the simulations and improve the outputs.  </w:t>
      </w:r>
    </w:p>
    <w:p>
      <w:pPr>
        <w:pStyle w:val="Normal"/>
        <w:jc w:val="both"/>
        <w:rPr>
          <w:sz w:val="20"/>
          <w:szCs w:val="20"/>
          <w:lang w:eastAsia="ja-JP"/>
        </w:rPr>
      </w:pPr>
      <w:r>
        <w:rPr>
          <w:sz w:val="20"/>
          <w:szCs w:val="20"/>
          <w:lang w:eastAsia="ja-JP"/>
        </w:rPr>
      </w:r>
    </w:p>
    <w:p>
      <w:pPr>
        <w:pStyle w:val="ListParagraph"/>
        <w:numPr>
          <w:ilvl w:val="0"/>
          <w:numId w:val="2"/>
        </w:numPr>
        <w:ind w:left="284" w:hanging="284"/>
        <w:jc w:val="both"/>
        <w:rPr>
          <w:sz w:val="20"/>
          <w:szCs w:val="20"/>
        </w:rPr>
      </w:pPr>
      <w:r>
        <w:rPr>
          <w:sz w:val="20"/>
          <w:szCs w:val="20"/>
        </w:rPr>
        <w:t>Is the range of HCR tested appropriate? Should we narrow it?</w:t>
      </w:r>
    </w:p>
    <w:p>
      <w:pPr>
        <w:pStyle w:val="Normal"/>
        <w:jc w:val="both"/>
        <w:rPr>
          <w:sz w:val="20"/>
          <w:szCs w:val="20"/>
        </w:rPr>
      </w:pPr>
      <w:r>
        <w:rPr>
          <w:sz w:val="20"/>
          <w:szCs w:val="20"/>
        </w:rPr>
      </w:r>
    </w:p>
    <w:p>
      <w:pPr>
        <w:pStyle w:val="Normal"/>
        <w:jc w:val="both"/>
        <w:rPr>
          <w:sz w:val="20"/>
          <w:szCs w:val="20"/>
        </w:rPr>
      </w:pPr>
      <w:r>
        <w:rPr>
          <w:sz w:val="20"/>
          <w:szCs w:val="20"/>
          <w:lang w:eastAsia="ja-JP"/>
        </w:rPr>
        <w:t xml:space="preserve">One CPC </w:t>
      </w:r>
      <w:r>
        <w:rPr>
          <w:sz w:val="20"/>
          <w:szCs w:val="20"/>
        </w:rPr>
        <w:t>responded that the range of HCRs tested was appropriate and they hoped further testing could proceed as soon as possible. There were no specific suggestions to modify the range of values tested for B</w:t>
      </w:r>
      <w:r>
        <w:rPr>
          <w:sz w:val="20"/>
          <w:szCs w:val="20"/>
          <w:vertAlign w:val="subscript"/>
        </w:rPr>
        <w:t>limit</w:t>
      </w:r>
      <w:r>
        <w:rPr>
          <w:sz w:val="20"/>
          <w:szCs w:val="20"/>
        </w:rPr>
        <w:t>, B</w:t>
      </w:r>
      <w:r>
        <w:rPr>
          <w:sz w:val="20"/>
          <w:szCs w:val="20"/>
          <w:vertAlign w:val="subscript"/>
        </w:rPr>
        <w:t>threshold</w:t>
      </w:r>
      <w:r>
        <w:rPr>
          <w:sz w:val="20"/>
          <w:szCs w:val="20"/>
        </w:rPr>
        <w:t xml:space="preserve"> and F</w:t>
      </w:r>
      <w:r>
        <w:rPr>
          <w:sz w:val="20"/>
          <w:szCs w:val="20"/>
          <w:vertAlign w:val="subscript"/>
        </w:rPr>
        <w:t>target</w:t>
      </w:r>
      <w:r>
        <w:rPr>
          <w:sz w:val="20"/>
          <w:szCs w:val="20"/>
          <w:lang w:eastAsia="ja-JP"/>
        </w:rPr>
        <w:t xml:space="preserve"> at this time</w:t>
      </w:r>
      <w:r>
        <w:rPr>
          <w:sz w:val="20"/>
          <w:szCs w:val="20"/>
        </w:rPr>
        <w:t xml:space="preserve">  </w:t>
      </w:r>
    </w:p>
    <w:p>
      <w:pPr>
        <w:pStyle w:val="Normal"/>
        <w:jc w:val="both"/>
        <w:rPr>
          <w:sz w:val="20"/>
          <w:szCs w:val="20"/>
        </w:rPr>
      </w:pPr>
      <w:r>
        <w:rPr>
          <w:sz w:val="20"/>
          <w:szCs w:val="20"/>
        </w:rPr>
      </w:r>
    </w:p>
    <w:p>
      <w:pPr>
        <w:pStyle w:val="ListParagraph"/>
        <w:numPr>
          <w:ilvl w:val="0"/>
          <w:numId w:val="2"/>
        </w:numPr>
        <w:ind w:left="284" w:hanging="284"/>
        <w:jc w:val="both"/>
        <w:rPr>
          <w:sz w:val="20"/>
          <w:szCs w:val="20"/>
        </w:rPr>
      </w:pPr>
      <w:r>
        <w:rPr>
          <w:sz w:val="20"/>
          <w:szCs w:val="20"/>
        </w:rPr>
        <w:t>Are the Pareto plots and spider diagrams useful?</w:t>
      </w:r>
    </w:p>
    <w:p>
      <w:pPr>
        <w:pStyle w:val="Normal"/>
        <w:jc w:val="both"/>
        <w:rPr>
          <w:sz w:val="20"/>
          <w:szCs w:val="20"/>
        </w:rPr>
      </w:pPr>
      <w:r>
        <w:rPr>
          <w:sz w:val="20"/>
          <w:szCs w:val="20"/>
        </w:rPr>
      </w:r>
    </w:p>
    <w:p>
      <w:pPr>
        <w:pStyle w:val="Normal"/>
        <w:jc w:val="both"/>
        <w:rPr>
          <w:sz w:val="20"/>
          <w:szCs w:val="20"/>
        </w:rPr>
      </w:pPr>
      <w:r>
        <w:rPr>
          <w:sz w:val="20"/>
          <w:szCs w:val="20"/>
        </w:rPr>
        <w:t xml:space="preserve">There was consensus that these diagrams are useful to communicate results to an audience of fisheries managers. However, other tools will be needed to communicate results to stakeholders in terms of future benefits and trade-offs.  These concepts will also be easier to understand when they include actual numbers.  </w:t>
      </w:r>
    </w:p>
    <w:p>
      <w:pPr>
        <w:pStyle w:val="Normal"/>
        <w:jc w:val="both"/>
        <w:rPr>
          <w:sz w:val="20"/>
          <w:szCs w:val="20"/>
        </w:rPr>
      </w:pPr>
      <w:r>
        <w:rPr>
          <w:sz w:val="20"/>
          <w:szCs w:val="20"/>
        </w:rPr>
      </w:r>
    </w:p>
    <w:p>
      <w:pPr>
        <w:pStyle w:val="ListParagraph"/>
        <w:numPr>
          <w:ilvl w:val="0"/>
          <w:numId w:val="2"/>
        </w:numPr>
        <w:ind w:left="284" w:hanging="284"/>
        <w:jc w:val="both"/>
        <w:rPr>
          <w:sz w:val="20"/>
          <w:szCs w:val="20"/>
        </w:rPr>
      </w:pPr>
      <w:r>
        <w:rPr>
          <w:sz w:val="20"/>
          <w:szCs w:val="20"/>
        </w:rPr>
        <w:t>What additional work is needed and what are resources needed to do it?</w:t>
      </w:r>
    </w:p>
    <w:p>
      <w:pPr>
        <w:pStyle w:val="Normal"/>
        <w:jc w:val="both"/>
        <w:rPr>
          <w:sz w:val="20"/>
          <w:szCs w:val="20"/>
        </w:rPr>
      </w:pPr>
      <w:r>
        <w:rPr>
          <w:sz w:val="20"/>
          <w:szCs w:val="20"/>
        </w:rPr>
      </w:r>
    </w:p>
    <w:p>
      <w:pPr>
        <w:pStyle w:val="Normal"/>
        <w:jc w:val="both"/>
        <w:rPr>
          <w:sz w:val="20"/>
          <w:szCs w:val="20"/>
        </w:rPr>
      </w:pPr>
      <w:r>
        <w:rPr>
          <w:sz w:val="20"/>
          <w:szCs w:val="20"/>
        </w:rPr>
        <w:t>In terms of specific work needed in the near term, the Albacore Working Group provided the MSE modelers with some feedback during the stock assessment, but there is limited time for any adaptations or updates of the MSE before the SCRS and Commission meetings this fall. The main challenge is that many of the scientists conducting the modeling for the assessment are the same people working on the MSE.  The SCRS may need other MSE experts to get involved to help advance the work in a timely way. An outside contract could be one way to involve additional expertise. One of the CPCs present at the meeting noted its commitment to continue to finance the albacore MSE. The meeting agreed that the SCRS should develop an estimated budget of the cost of continuing and expanding the north</w:t>
      </w:r>
      <w:r>
        <w:rPr>
          <w:sz w:val="20"/>
          <w:szCs w:val="20"/>
          <w:lang w:eastAsia="ja-JP"/>
        </w:rPr>
        <w:t>ern</w:t>
      </w:r>
      <w:r>
        <w:rPr>
          <w:sz w:val="20"/>
          <w:szCs w:val="20"/>
        </w:rPr>
        <w:t xml:space="preserve"> albacore MSE work and provide this estimate to the Commission.  </w:t>
      </w:r>
    </w:p>
    <w:p>
      <w:pPr>
        <w:pStyle w:val="Normal"/>
        <w:jc w:val="both"/>
        <w:rPr>
          <w:sz w:val="20"/>
          <w:szCs w:val="20"/>
        </w:rPr>
      </w:pPr>
      <w:r>
        <w:rPr>
          <w:sz w:val="20"/>
          <w:szCs w:val="20"/>
        </w:rPr>
      </w:r>
    </w:p>
    <w:p>
      <w:pPr>
        <w:pStyle w:val="Normal"/>
        <w:jc w:val="both"/>
        <w:rPr>
          <w:sz w:val="20"/>
          <w:szCs w:val="20"/>
        </w:rPr>
      </w:pPr>
      <w:r>
        <w:rPr>
          <w:sz w:val="20"/>
          <w:szCs w:val="20"/>
        </w:rPr>
        <w:t xml:space="preserve">This fall, the SCRS will consider how to continue adjusting the observational model again in light of the 2016 assessment, considering which CPUE to include in the management strategy, and elaborating or expanding the sources of uncertainty with respect to implementation. This work is part of an ongoing process and it is up to the SCRS and the Commission to jointly decide when they have enough information to select a management strategy.  </w:t>
      </w:r>
    </w:p>
    <w:p>
      <w:pPr>
        <w:pStyle w:val="Normal"/>
        <w:jc w:val="both"/>
        <w:rPr>
          <w:sz w:val="20"/>
          <w:szCs w:val="20"/>
        </w:rPr>
      </w:pPr>
      <w:r>
        <w:rPr>
          <w:sz w:val="20"/>
          <w:szCs w:val="20"/>
        </w:rPr>
      </w:r>
    </w:p>
    <w:p>
      <w:pPr>
        <w:pStyle w:val="Normal"/>
        <w:jc w:val="both"/>
        <w:rPr>
          <w:sz w:val="20"/>
          <w:szCs w:val="20"/>
        </w:rPr>
      </w:pPr>
      <w:r>
        <w:rPr>
          <w:sz w:val="20"/>
          <w:szCs w:val="20"/>
        </w:rPr>
        <w:t xml:space="preserve">In summary, many CPCs were satisfied with progress to date on HCR/MSE. It was noted that under Rec. 15-07, this has been established as the way of managing in the future. Several CPCs expressed the desire to have a fuller understanding of work conducted by the SCRS before the Commission adopts HCRs. Dr. Die reminded the Panel that although we can describe this exercise in a series of steps, it is not a simple, linear process. Some steps may need to be repeated several times before the Commission commits to a management strategy.  </w:t>
      </w:r>
    </w:p>
    <w:p>
      <w:pPr>
        <w:pStyle w:val="Normal"/>
        <w:jc w:val="both"/>
        <w:rPr>
          <w:sz w:val="20"/>
          <w:szCs w:val="20"/>
        </w:rPr>
      </w:pPr>
      <w:r>
        <w:rPr>
          <w:sz w:val="20"/>
          <w:szCs w:val="20"/>
        </w:rPr>
      </w:r>
    </w:p>
    <w:p>
      <w:pPr>
        <w:pStyle w:val="Normal"/>
        <w:jc w:val="both"/>
        <w:rPr>
          <w:sz w:val="20"/>
          <w:szCs w:val="20"/>
        </w:rPr>
      </w:pPr>
      <w:r>
        <w:rPr>
          <w:sz w:val="20"/>
          <w:szCs w:val="20"/>
        </w:rPr>
        <w:t>There was a question about how realistic and practical it is for the Commission and the SCRS to follow an HCR/MSE approach for all stocks. Dr. Die replied that the Commission and SCRS have to be courageous. We will learn from our experience with north</w:t>
      </w:r>
      <w:r>
        <w:rPr>
          <w:sz w:val="20"/>
          <w:szCs w:val="20"/>
          <w:lang w:eastAsia="ja-JP"/>
        </w:rPr>
        <w:t>ern</w:t>
      </w:r>
      <w:r>
        <w:rPr>
          <w:sz w:val="20"/>
          <w:szCs w:val="20"/>
        </w:rPr>
        <w:t xml:space="preserve"> albacore.  Some stocks have complicated management issues and may take longer than others. But it would be tremendously useful for the Commission to take a step forward so that the lessons learned can be applied to other stocks.  </w:t>
      </w:r>
    </w:p>
    <w:p>
      <w:pPr>
        <w:pStyle w:val="Normal"/>
        <w:jc w:val="both"/>
        <w:rPr>
          <w:b/>
          <w:b/>
          <w:sz w:val="20"/>
          <w:szCs w:val="20"/>
        </w:rPr>
      </w:pPr>
      <w:r>
        <w:rPr>
          <w:b/>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r>
    </w:p>
    <w:p>
      <w:pPr>
        <w:pStyle w:val="Normal"/>
        <w:numPr>
          <w:ilvl w:val="0"/>
          <w:numId w:val="0"/>
        </w:numPr>
        <w:tabs>
          <w:tab w:val="left" w:pos="7938" w:leader="none"/>
        </w:tabs>
        <w:jc w:val="both"/>
        <w:outlineLvl w:val="0"/>
        <w:rPr>
          <w:sz w:val="20"/>
          <w:szCs w:val="20"/>
        </w:rPr>
      </w:pPr>
      <w:r>
        <w:rPr>
          <w:sz w:val="20"/>
          <w:szCs w:val="20"/>
        </w:rPr>
        <w:t xml:space="preserve">The Panel 2 Chair referred again to the EU proposal </w:t>
      </w:r>
      <w:r>
        <w:rPr>
          <w:b/>
          <w:sz w:val="20"/>
          <w:szCs w:val="20"/>
        </w:rPr>
        <w:t>(Appendix 3)</w:t>
      </w:r>
      <w:r>
        <w:rPr>
          <w:sz w:val="20"/>
          <w:szCs w:val="20"/>
        </w:rPr>
        <w:t>, which contains many elements for the Panel to consider, in addition to the performance indicators. He suggested that a detailed discussion of the operative text would be premature at this time, given that the SCRS has not yet reviewed the stock assessment or provided final management advice. The full text of the ¨</w:t>
      </w:r>
      <w:r>
        <w:rPr>
          <w:i/>
          <w:sz w:val="20"/>
          <w:szCs w:val="20"/>
        </w:rPr>
        <w:t>Draft recommendation by ICCAT to establish harvest control rules for the north Atlantic albacore stock</w:t>
      </w:r>
      <w:r>
        <w:rPr>
          <w:sz w:val="20"/>
          <w:szCs w:val="20"/>
        </w:rPr>
        <w:t xml:space="preserve">¨ is appended to the report as a working document so that CPCs can give it full consideration and provide any feedback to the EU in advance of the Annual meeting. </w:t>
      </w:r>
    </w:p>
    <w:p>
      <w:pPr>
        <w:pStyle w:val="Normal"/>
        <w:numPr>
          <w:ilvl w:val="0"/>
          <w:numId w:val="0"/>
        </w:numPr>
        <w:tabs>
          <w:tab w:val="left" w:pos="7938" w:leader="none"/>
        </w:tabs>
        <w:jc w:val="both"/>
        <w:outlineLvl w:val="0"/>
        <w:rPr>
          <w:sz w:val="20"/>
          <w:szCs w:val="20"/>
        </w:rPr>
      </w:pPr>
      <w:r>
        <w:rPr>
          <w:sz w:val="20"/>
          <w:szCs w:val="20"/>
        </w:rPr>
      </w:r>
    </w:p>
    <w:p>
      <w:pPr>
        <w:pStyle w:val="Normal"/>
        <w:jc w:val="both"/>
        <w:rPr>
          <w:sz w:val="20"/>
          <w:szCs w:val="20"/>
        </w:rPr>
      </w:pPr>
      <w:r>
        <w:rPr>
          <w:sz w:val="20"/>
          <w:szCs w:val="20"/>
        </w:rPr>
      </w:r>
    </w:p>
    <w:p>
      <w:pPr>
        <w:pStyle w:val="ListParagraph"/>
        <w:numPr>
          <w:ilvl w:val="0"/>
          <w:numId w:val="3"/>
        </w:numPr>
        <w:ind w:left="284" w:hanging="284"/>
        <w:jc w:val="both"/>
        <w:rPr>
          <w:b/>
          <w:b/>
          <w:sz w:val="20"/>
          <w:szCs w:val="20"/>
        </w:rPr>
      </w:pPr>
      <w:r>
        <w:rPr>
          <w:b/>
          <w:sz w:val="20"/>
          <w:szCs w:val="20"/>
        </w:rPr>
        <w:t>Other matters</w:t>
      </w:r>
    </w:p>
    <w:p>
      <w:pPr>
        <w:pStyle w:val="Normal"/>
        <w:ind w:left="360" w:hanging="0"/>
        <w:rPr>
          <w:sz w:val="20"/>
          <w:szCs w:val="20"/>
        </w:rPr>
      </w:pPr>
      <w:r>
        <w:rPr>
          <w:sz w:val="20"/>
          <w:szCs w:val="20"/>
        </w:rPr>
      </w:r>
    </w:p>
    <w:p>
      <w:pPr>
        <w:pStyle w:val="Normal"/>
        <w:jc w:val="both"/>
        <w:rPr>
          <w:sz w:val="20"/>
          <w:szCs w:val="20"/>
        </w:rPr>
      </w:pPr>
      <w:r>
        <w:rPr>
          <w:sz w:val="20"/>
          <w:szCs w:val="20"/>
        </w:rPr>
        <w:t>Dr. Die gave a presentation summarizing recent work by the SCRS on bluefin tuna MSE. He explained that the interim objective is to use the MSE framework for improving the current scientific advice.  New models will be tested to support the 2017 bluefin tuna assessment. Efforts to improve the data that will support the assessment are ongoing through the ICCAT GBYP. One CPC observed that the MSE for bluefin tuna is more comprehensive and flexible than the north</w:t>
      </w:r>
      <w:r>
        <w:rPr>
          <w:sz w:val="20"/>
          <w:szCs w:val="20"/>
          <w:lang w:eastAsia="ja-JP"/>
        </w:rPr>
        <w:t>ern</w:t>
      </w:r>
      <w:r>
        <w:rPr>
          <w:sz w:val="20"/>
          <w:szCs w:val="20"/>
        </w:rPr>
        <w:t xml:space="preserve"> albacore MSE, with more scenarios and options for managers to choose from. The external review of the ICCAT GBYP will partially address the question of necessary resources, and the Steering Committee will make a recommendation about what proportion of resources should be devoted to modeling vs. other work. </w:t>
      </w:r>
    </w:p>
    <w:p>
      <w:pPr>
        <w:pStyle w:val="Normal"/>
        <w:jc w:val="both"/>
        <w:rPr>
          <w:sz w:val="20"/>
          <w:szCs w:val="20"/>
        </w:rPr>
      </w:pPr>
      <w:r>
        <w:rPr>
          <w:sz w:val="20"/>
          <w:szCs w:val="20"/>
        </w:rPr>
      </w:r>
    </w:p>
    <w:p>
      <w:pPr>
        <w:pStyle w:val="Normal"/>
        <w:jc w:val="both"/>
        <w:rPr>
          <w:sz w:val="20"/>
          <w:szCs w:val="20"/>
        </w:rPr>
      </w:pPr>
      <w:r>
        <w:rPr>
          <w:sz w:val="20"/>
          <w:szCs w:val="20"/>
        </w:rPr>
        <w:t xml:space="preserve">The Executive Secretary, Mr. Driss Meski, provided an update on the work of the Kobe MSE Working Group, which is coordinated by the ICCAT Secretariat and convened by Dr. Laurie Kell. Work to date has been conducted on a virtual basis. The first in-person meeting of this Group will take place in Madrid (2-4 November 2016). The Group will examine computational aspects of the MSE, sharing code among the RFMOs, and how each RFMO has conducted MSE in their own areas of competency. This technical meeting will be open to all interested persons, with some funding available to support scientists from developing coastal States.  </w:t>
      </w:r>
    </w:p>
    <w:p>
      <w:pPr>
        <w:pStyle w:val="Normal"/>
        <w:ind w:left="360" w:hanging="0"/>
        <w:jc w:val="both"/>
        <w:rPr>
          <w:sz w:val="20"/>
          <w:szCs w:val="20"/>
        </w:rPr>
      </w:pPr>
      <w:r>
        <w:rPr>
          <w:sz w:val="20"/>
          <w:szCs w:val="20"/>
        </w:rPr>
      </w:r>
    </w:p>
    <w:p>
      <w:pPr>
        <w:pStyle w:val="Normal"/>
        <w:jc w:val="both"/>
        <w:rPr>
          <w:sz w:val="20"/>
          <w:szCs w:val="20"/>
        </w:rPr>
      </w:pPr>
      <w:r>
        <w:rPr>
          <w:sz w:val="20"/>
          <w:szCs w:val="20"/>
        </w:rPr>
        <w:t xml:space="preserve">The United States thanked the Secretariat for this important effort and noted the availability of ABNJ funds for this purpose.  </w:t>
      </w:r>
    </w:p>
    <w:p>
      <w:pPr>
        <w:pStyle w:val="Normal"/>
        <w:ind w:left="360" w:hanging="0"/>
        <w:jc w:val="both"/>
        <w:rPr>
          <w:sz w:val="20"/>
          <w:szCs w:val="20"/>
        </w:rPr>
      </w:pPr>
      <w:r>
        <w:rPr>
          <w:sz w:val="20"/>
          <w:szCs w:val="20"/>
        </w:rPr>
      </w:r>
    </w:p>
    <w:p>
      <w:pPr>
        <w:pStyle w:val="Normal"/>
        <w:jc w:val="both"/>
        <w:rPr>
          <w:sz w:val="20"/>
          <w:szCs w:val="20"/>
        </w:rPr>
      </w:pPr>
      <w:r>
        <w:rPr>
          <w:sz w:val="20"/>
          <w:szCs w:val="20"/>
        </w:rPr>
        <w:t xml:space="preserve">The observer from ISSF noted that there had been some concern about how interested technical experts can access the MSE Working Group’s discussion. The ISSF has a strong interest in continuing to support this type of initiative.  </w:t>
      </w:r>
    </w:p>
    <w:p>
      <w:pPr>
        <w:pStyle w:val="Normal"/>
        <w:jc w:val="both"/>
        <w:rPr>
          <w:sz w:val="20"/>
          <w:szCs w:val="20"/>
        </w:rPr>
      </w:pPr>
      <w:r>
        <w:rPr>
          <w:sz w:val="20"/>
          <w:szCs w:val="20"/>
        </w:rPr>
      </w:r>
    </w:p>
    <w:p>
      <w:pPr>
        <w:pStyle w:val="Normal"/>
        <w:jc w:val="both"/>
        <w:rPr>
          <w:sz w:val="20"/>
          <w:szCs w:val="20"/>
        </w:rPr>
      </w:pPr>
      <w:r>
        <w:rPr>
          <w:sz w:val="20"/>
          <w:szCs w:val="20"/>
        </w:rPr>
        <w:t>The EU introduced ¨</w:t>
      </w:r>
      <w:r>
        <w:rPr>
          <w:i/>
          <w:sz w:val="20"/>
          <w:szCs w:val="20"/>
        </w:rPr>
        <w:t>Request by the European Union for Clarification by the Commission Regarding the Use of Algorithms for the Purpose of Bluefin tuna Caging Operations</w:t>
      </w:r>
      <w:r>
        <w:rPr>
          <w:sz w:val="20"/>
          <w:szCs w:val="20"/>
        </w:rPr>
        <w:t>¨ (</w:t>
      </w:r>
      <w:r>
        <w:rPr>
          <w:b/>
          <w:sz w:val="20"/>
          <w:szCs w:val="20"/>
        </w:rPr>
        <w:t>Appendix 5</w:t>
      </w:r>
      <w:r>
        <w:rPr>
          <w:sz w:val="20"/>
          <w:szCs w:val="20"/>
        </w:rPr>
        <w:t xml:space="preserve">). Dr. Die suggested that the Bluefin Tuna Working Group could review this when they meet in Madrid next week. It was agreed to append this document to the report and return to this issue in light of SCRS advice at the Panel 2 meeting in November.  </w:t>
      </w:r>
    </w:p>
    <w:p>
      <w:pPr>
        <w:pStyle w:val="ListParagraph"/>
        <w:jc w:val="both"/>
        <w:rPr>
          <w:b/>
          <w:b/>
          <w:sz w:val="20"/>
          <w:szCs w:val="20"/>
        </w:rPr>
      </w:pPr>
      <w:r>
        <w:rPr>
          <w:b/>
          <w:sz w:val="20"/>
          <w:szCs w:val="20"/>
        </w:rPr>
      </w:r>
    </w:p>
    <w:p>
      <w:pPr>
        <w:pStyle w:val="ListParagraph"/>
        <w:jc w:val="both"/>
        <w:rPr>
          <w:b/>
          <w:b/>
          <w:sz w:val="20"/>
          <w:szCs w:val="20"/>
        </w:rPr>
      </w:pPr>
      <w:r>
        <w:rPr>
          <w:b/>
          <w:sz w:val="20"/>
          <w:szCs w:val="20"/>
        </w:rPr>
      </w:r>
    </w:p>
    <w:p>
      <w:pPr>
        <w:pStyle w:val="ListParagraph"/>
        <w:numPr>
          <w:ilvl w:val="0"/>
          <w:numId w:val="3"/>
        </w:numPr>
        <w:ind w:left="284" w:hanging="284"/>
        <w:jc w:val="both"/>
        <w:rPr>
          <w:sz w:val="20"/>
          <w:szCs w:val="20"/>
        </w:rPr>
      </w:pPr>
      <w:r>
        <w:rPr>
          <w:b/>
          <w:sz w:val="20"/>
          <w:szCs w:val="20"/>
        </w:rPr>
        <w:t>Adoption of report and adjournment</w:t>
      </w:r>
    </w:p>
    <w:p>
      <w:pPr>
        <w:pStyle w:val="Normal"/>
        <w:jc w:val="both"/>
        <w:rPr>
          <w:sz w:val="20"/>
          <w:szCs w:val="20"/>
          <w:lang w:eastAsia="ja-JP"/>
        </w:rPr>
      </w:pPr>
      <w:r>
        <w:rPr>
          <w:sz w:val="20"/>
          <w:szCs w:val="20"/>
          <w:lang w:eastAsia="ja-JP"/>
        </w:rPr>
      </w:r>
    </w:p>
    <w:p>
      <w:pPr>
        <w:pStyle w:val="Normal"/>
        <w:jc w:val="both"/>
        <w:rPr>
          <w:sz w:val="20"/>
          <w:szCs w:val="20"/>
          <w:lang w:eastAsia="ja-JP"/>
        </w:rPr>
      </w:pPr>
      <w:r>
        <w:rPr>
          <w:sz w:val="20"/>
          <w:szCs w:val="20"/>
          <w:lang w:eastAsia="ja-JP"/>
        </w:rPr>
        <w:t>The report was adopted by Panel 2 and the meeting was adjourned.</w:t>
      </w:r>
    </w:p>
    <w:p>
      <w:pPr>
        <w:pStyle w:val="Normal"/>
        <w:rPr>
          <w:sz w:val="20"/>
          <w:szCs w:val="20"/>
          <w:lang w:eastAsia="ja-JP"/>
        </w:rPr>
      </w:pPr>
      <w:r>
        <w:rPr>
          <w:sz w:val="20"/>
          <w:szCs w:val="20"/>
          <w:lang w:eastAsia="ja-JP"/>
        </w:rPr>
      </w:r>
      <w:r>
        <w:br w:type="page"/>
      </w:r>
    </w:p>
    <w:p>
      <w:pPr>
        <w:pStyle w:val="Normal"/>
        <w:jc w:val="right"/>
        <w:rPr>
          <w:b/>
          <w:b/>
          <w:sz w:val="20"/>
          <w:szCs w:val="20"/>
          <w:lang w:eastAsia="ja-JP"/>
        </w:rPr>
      </w:pPr>
      <w:r>
        <w:rPr>
          <w:b/>
          <w:sz w:val="20"/>
          <w:szCs w:val="20"/>
          <w:lang w:eastAsia="ja-JP"/>
        </w:rPr>
        <w:t>Appendix 1</w:t>
      </w:r>
    </w:p>
    <w:p>
      <w:pPr>
        <w:pStyle w:val="Normal"/>
        <w:jc w:val="both"/>
        <w:rPr>
          <w:sz w:val="20"/>
          <w:szCs w:val="20"/>
          <w:lang w:eastAsia="ja-JP"/>
        </w:rPr>
      </w:pPr>
      <w:r>
        <w:rPr>
          <w:sz w:val="20"/>
          <w:szCs w:val="20"/>
          <w:lang w:eastAsia="ja-JP"/>
        </w:rPr>
      </w:r>
    </w:p>
    <w:p>
      <w:pPr>
        <w:pStyle w:val="Normal"/>
        <w:jc w:val="center"/>
        <w:rPr>
          <w:rFonts w:cs="Times New Roman"/>
          <w:b/>
          <w:b/>
          <w:sz w:val="20"/>
          <w:szCs w:val="20"/>
        </w:rPr>
      </w:pPr>
      <w:r>
        <w:rPr>
          <w:rFonts w:cs="Times New Roman"/>
          <w:b/>
          <w:sz w:val="20"/>
          <w:szCs w:val="20"/>
        </w:rPr>
        <w:t xml:space="preserve">Agenda </w:t>
      </w:r>
    </w:p>
    <w:p>
      <w:pPr>
        <w:pStyle w:val="Normal"/>
        <w:jc w:val="both"/>
        <w:rPr>
          <w:rFonts w:cs="Times New Roman"/>
          <w:b/>
          <w:b/>
          <w:sz w:val="20"/>
          <w:szCs w:val="20"/>
        </w:rPr>
      </w:pPr>
      <w:r>
        <w:rPr>
          <w:rFonts w:cs="Times New Roman"/>
          <w:b/>
          <w:sz w:val="20"/>
          <w:szCs w:val="20"/>
        </w:rPr>
      </w:r>
    </w:p>
    <w:p>
      <w:pPr>
        <w:pStyle w:val="Normal"/>
        <w:jc w:val="both"/>
        <w:rPr>
          <w:rFonts w:cs="Times New Roman"/>
          <w:b/>
          <w:b/>
          <w:sz w:val="20"/>
          <w:szCs w:val="20"/>
        </w:rPr>
      </w:pPr>
      <w:r>
        <w:rPr>
          <w:rFonts w:cs="Times New Roman"/>
          <w:b/>
          <w:sz w:val="20"/>
          <w:szCs w:val="20"/>
        </w:rPr>
      </w:r>
    </w:p>
    <w:p>
      <w:pPr>
        <w:pStyle w:val="Normal"/>
        <w:tabs>
          <w:tab w:val="left" w:pos="0" w:leader="none"/>
          <w:tab w:val="left" w:pos="426" w:leader="none"/>
        </w:tabs>
        <w:jc w:val="both"/>
        <w:rPr>
          <w:rFonts w:cs="Times New Roman"/>
          <w:sz w:val="20"/>
          <w:szCs w:val="20"/>
        </w:rPr>
      </w:pPr>
      <w:r>
        <w:rPr>
          <w:rFonts w:cs="Times New Roman"/>
          <w:sz w:val="20"/>
          <w:szCs w:val="20"/>
        </w:rPr>
        <w:t>1.</w:t>
        <w:tab/>
        <w:t>Opening of the meeting</w:t>
      </w:r>
    </w:p>
    <w:p>
      <w:pPr>
        <w:pStyle w:val="Normal"/>
        <w:tabs>
          <w:tab w:val="left" w:pos="0" w:leader="none"/>
          <w:tab w:val="left" w:pos="426" w:leader="none"/>
        </w:tabs>
        <w:jc w:val="both"/>
        <w:rPr>
          <w:rFonts w:cs="Times New Roman"/>
          <w:sz w:val="20"/>
          <w:szCs w:val="20"/>
        </w:rPr>
      </w:pPr>
      <w:r>
        <w:rPr>
          <w:rFonts w:cs="Times New Roman"/>
          <w:sz w:val="20"/>
          <w:szCs w:val="20"/>
        </w:rPr>
        <w:t xml:space="preserve">2. </w:t>
        <w:tab/>
        <w:t>Nomination of Rapporteur</w:t>
      </w:r>
    </w:p>
    <w:p>
      <w:pPr>
        <w:pStyle w:val="Normal"/>
        <w:tabs>
          <w:tab w:val="left" w:pos="0" w:leader="none"/>
          <w:tab w:val="left" w:pos="426" w:leader="none"/>
        </w:tabs>
        <w:jc w:val="both"/>
        <w:rPr>
          <w:rFonts w:cs="Times New Roman"/>
          <w:sz w:val="20"/>
          <w:szCs w:val="20"/>
        </w:rPr>
      </w:pPr>
      <w:r>
        <w:rPr>
          <w:rFonts w:cs="Times New Roman"/>
          <w:sz w:val="20"/>
          <w:szCs w:val="20"/>
        </w:rPr>
        <w:t xml:space="preserve">3. </w:t>
        <w:tab/>
        <w:t>Adoption of the agenda and meeting arrangements</w:t>
      </w:r>
    </w:p>
    <w:p>
      <w:pPr>
        <w:pStyle w:val="Normal"/>
        <w:tabs>
          <w:tab w:val="left" w:pos="0" w:leader="none"/>
          <w:tab w:val="left" w:pos="426" w:leader="none"/>
        </w:tabs>
        <w:ind w:left="426" w:hanging="426"/>
        <w:jc w:val="both"/>
        <w:rPr>
          <w:rFonts w:cs="Times New Roman"/>
          <w:sz w:val="20"/>
          <w:szCs w:val="20"/>
        </w:rPr>
      </w:pPr>
      <w:r>
        <w:rPr>
          <w:rFonts w:cs="Times New Roman"/>
          <w:sz w:val="20"/>
          <w:szCs w:val="20"/>
        </w:rPr>
        <w:t xml:space="preserve">4. </w:t>
        <w:tab/>
        <w:t>Consideration of the Report of the 2016 ICCAT North and South Atlantic Albacore stock assessment meeting</w:t>
      </w:r>
    </w:p>
    <w:p>
      <w:pPr>
        <w:pStyle w:val="Normal"/>
        <w:tabs>
          <w:tab w:val="left" w:pos="0" w:leader="none"/>
          <w:tab w:val="left" w:pos="426" w:leader="none"/>
        </w:tabs>
        <w:jc w:val="both"/>
        <w:rPr>
          <w:rFonts w:cs="Times New Roman"/>
          <w:sz w:val="20"/>
          <w:szCs w:val="20"/>
        </w:rPr>
      </w:pPr>
      <w:r>
        <w:rPr>
          <w:rFonts w:cs="Times New Roman"/>
          <w:sz w:val="20"/>
          <w:szCs w:val="20"/>
        </w:rPr>
        <w:t xml:space="preserve"> </w:t>
      </w:r>
      <w:r>
        <w:rPr>
          <w:rFonts w:cs="Times New Roman"/>
          <w:sz w:val="20"/>
          <w:szCs w:val="20"/>
        </w:rPr>
        <w:t xml:space="preserve">5. </w:t>
        <w:tab/>
        <w:t>Consideration of candidate reference points for northern albacore identified by SCRS</w:t>
      </w:r>
    </w:p>
    <w:p>
      <w:pPr>
        <w:pStyle w:val="Normal"/>
        <w:tabs>
          <w:tab w:val="left" w:pos="0" w:leader="none"/>
          <w:tab w:val="left" w:pos="426" w:leader="none"/>
        </w:tabs>
        <w:jc w:val="both"/>
        <w:rPr>
          <w:rFonts w:cs="Times New Roman"/>
          <w:sz w:val="20"/>
          <w:szCs w:val="20"/>
        </w:rPr>
      </w:pPr>
      <w:r>
        <w:rPr>
          <w:rFonts w:cs="Times New Roman"/>
          <w:sz w:val="20"/>
          <w:szCs w:val="20"/>
        </w:rPr>
        <w:t xml:space="preserve">6. </w:t>
        <w:tab/>
        <w:t>Development of Harvest Control Rules based on Agenda Item 5</w:t>
      </w:r>
    </w:p>
    <w:p>
      <w:pPr>
        <w:pStyle w:val="Normal"/>
        <w:tabs>
          <w:tab w:val="left" w:pos="0" w:leader="none"/>
          <w:tab w:val="left" w:pos="426" w:leader="none"/>
        </w:tabs>
        <w:jc w:val="both"/>
        <w:rPr>
          <w:rFonts w:cs="Times New Roman"/>
          <w:sz w:val="20"/>
          <w:szCs w:val="20"/>
        </w:rPr>
      </w:pPr>
      <w:r>
        <w:rPr>
          <w:rFonts w:cs="Times New Roman"/>
          <w:sz w:val="20"/>
          <w:szCs w:val="20"/>
        </w:rPr>
        <w:t xml:space="preserve">7. </w:t>
        <w:tab/>
        <w:t>Other matters</w:t>
      </w:r>
    </w:p>
    <w:p>
      <w:pPr>
        <w:pStyle w:val="Normal"/>
        <w:tabs>
          <w:tab w:val="left" w:pos="0" w:leader="none"/>
          <w:tab w:val="left" w:pos="426" w:leader="none"/>
        </w:tabs>
        <w:jc w:val="both"/>
        <w:rPr>
          <w:rFonts w:cs="Times New Roman"/>
          <w:sz w:val="20"/>
          <w:szCs w:val="20"/>
        </w:rPr>
      </w:pPr>
      <w:r>
        <w:rPr>
          <w:rFonts w:cs="Times New Roman"/>
          <w:sz w:val="20"/>
          <w:szCs w:val="20"/>
        </w:rPr>
        <w:t xml:space="preserve">8. </w:t>
        <w:tab/>
        <w:t xml:space="preserve">Adoption of Report and Adjournment </w:t>
      </w:r>
    </w:p>
    <w:p>
      <w:pPr>
        <w:pStyle w:val="Normal"/>
        <w:tabs>
          <w:tab w:val="left" w:pos="993" w:leader="none"/>
        </w:tabs>
        <w:jc w:val="both"/>
        <w:rPr>
          <w:sz w:val="20"/>
          <w:szCs w:val="20"/>
        </w:rPr>
      </w:pPr>
      <w:r>
        <w:rPr>
          <w:sz w:val="20"/>
          <w:szCs w:val="20"/>
        </w:rPr>
      </w:r>
      <w:r>
        <w:br w:type="page"/>
      </w:r>
    </w:p>
    <w:p>
      <w:pPr>
        <w:pStyle w:val="Default"/>
        <w:jc w:val="right"/>
        <w:rPr>
          <w:rFonts w:ascii="Cambria" w:hAnsi="Cambria" w:asciiTheme="minorHAnsi" w:hAnsiTheme="minorHAnsi"/>
          <w:b/>
          <w:b/>
          <w:bCs/>
          <w:color w:val="00000A"/>
          <w:sz w:val="20"/>
          <w:szCs w:val="20"/>
          <w:lang w:val="fr-FR"/>
        </w:rPr>
      </w:pPr>
      <w:r>
        <w:rPr>
          <w:rFonts w:asciiTheme="minorHAnsi" w:hAnsiTheme="minorHAnsi"/>
          <w:b/>
          <w:bCs/>
          <w:color w:val="00000A"/>
          <w:sz w:val="20"/>
          <w:szCs w:val="20"/>
          <w:lang w:val="fr-FR"/>
        </w:rPr>
        <w:t>Appendix 2</w:t>
      </w:r>
    </w:p>
    <w:p>
      <w:pPr>
        <w:pStyle w:val="Default"/>
        <w:jc w:val="right"/>
        <w:rPr>
          <w:rFonts w:ascii="Cambria" w:hAnsi="Cambria" w:asciiTheme="minorHAnsi" w:hAnsiTheme="minorHAnsi"/>
          <w:b/>
          <w:b/>
          <w:bCs/>
          <w:color w:val="00000A"/>
          <w:sz w:val="20"/>
          <w:szCs w:val="20"/>
          <w:lang w:val="fr-FR"/>
        </w:rPr>
      </w:pPr>
      <w:r>
        <w:rPr>
          <w:rFonts w:asciiTheme="minorHAnsi" w:hAnsiTheme="minorHAnsi"/>
          <w:b/>
          <w:bCs/>
          <w:color w:val="00000A"/>
          <w:sz w:val="20"/>
          <w:szCs w:val="20"/>
          <w:lang w:val="fr-FR"/>
        </w:rPr>
      </w:r>
    </w:p>
    <w:p>
      <w:pPr>
        <w:pStyle w:val="Default"/>
        <w:jc w:val="center"/>
        <w:rPr>
          <w:rFonts w:ascii="Cambria" w:hAnsi="Cambria" w:asciiTheme="minorHAnsi" w:hAnsiTheme="minorHAnsi"/>
          <w:color w:val="00000A"/>
          <w:sz w:val="20"/>
          <w:szCs w:val="20"/>
          <w:lang w:val="fr-FR"/>
        </w:rPr>
      </w:pPr>
      <w:r>
        <w:rPr>
          <w:rFonts w:asciiTheme="minorHAnsi" w:hAnsiTheme="minorHAnsi"/>
          <w:b/>
          <w:bCs/>
          <w:color w:val="00000A"/>
          <w:sz w:val="20"/>
          <w:szCs w:val="20"/>
          <w:lang w:val="fr-FR"/>
        </w:rPr>
        <w:t>List of Participants</w:t>
      </w:r>
    </w:p>
    <w:p>
      <w:pPr>
        <w:pStyle w:val="Normal"/>
        <w:widowControl w:val="false"/>
        <w:tabs>
          <w:tab w:val="left" w:pos="90" w:leader="none"/>
        </w:tabs>
        <w:jc w:val="both"/>
        <w:rPr>
          <w:b/>
          <w:b/>
          <w:bCs/>
          <w:i/>
          <w:i/>
          <w:iCs/>
          <w:sz w:val="20"/>
          <w:szCs w:val="20"/>
          <w:lang w:val="fr-FR"/>
        </w:rPr>
      </w:pPr>
      <w:r>
        <w:rPr>
          <w:b/>
          <w:bCs/>
          <w:i/>
          <w:iCs/>
          <w:sz w:val="20"/>
          <w:szCs w:val="20"/>
          <w:lang w:val="fr-FR"/>
        </w:rPr>
      </w:r>
    </w:p>
    <w:p>
      <w:pPr>
        <w:pStyle w:val="Normal"/>
        <w:widowControl w:val="false"/>
        <w:tabs>
          <w:tab w:val="left" w:pos="90" w:leader="none"/>
        </w:tabs>
        <w:jc w:val="both"/>
        <w:rPr>
          <w:b/>
          <w:b/>
          <w:bCs/>
          <w:i/>
          <w:i/>
          <w:sz w:val="20"/>
          <w:szCs w:val="20"/>
          <w:lang w:val="fr-FR"/>
        </w:rPr>
      </w:pPr>
      <w:r>
        <w:rPr>
          <w:b/>
          <w:bCs/>
          <w:i/>
          <w:iCs/>
          <w:sz w:val="20"/>
          <w:szCs w:val="20"/>
          <w:lang w:val="fr-FR"/>
        </w:rPr>
        <w:t>CONTRACTING PARTIES</w:t>
      </w:r>
    </w:p>
    <w:p>
      <w:pPr>
        <w:pStyle w:val="Normal"/>
        <w:widowControl w:val="false"/>
        <w:tabs>
          <w:tab w:val="center" w:pos="4477"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 xml:space="preserve">ALGERIA </w:t>
      </w:r>
    </w:p>
    <w:p>
      <w:pPr>
        <w:pStyle w:val="Normal"/>
        <w:widowControl w:val="false"/>
        <w:tabs>
          <w:tab w:val="left" w:pos="90" w:leader="none"/>
        </w:tabs>
        <w:jc w:val="both"/>
        <w:rPr>
          <w:b/>
          <w:b/>
          <w:bCs/>
          <w:sz w:val="23"/>
          <w:szCs w:val="23"/>
          <w:lang w:val="fr-FR"/>
        </w:rPr>
      </w:pPr>
      <w:r>
        <w:rPr>
          <w:b/>
          <w:bCs/>
          <w:sz w:val="18"/>
          <w:szCs w:val="18"/>
          <w:lang w:val="fr-FR"/>
        </w:rPr>
        <w:t xml:space="preserve">Kaddour, </w:t>
      </w:r>
      <w:r>
        <w:rPr>
          <w:bCs/>
          <w:sz w:val="18"/>
          <w:szCs w:val="18"/>
          <w:lang w:val="fr-FR"/>
        </w:rPr>
        <w:t>Omar</w:t>
      </w:r>
      <w:r>
        <w:rPr>
          <w:rStyle w:val="FootnoteAnchor"/>
          <w:bCs/>
          <w:sz w:val="18"/>
          <w:szCs w:val="18"/>
          <w:lang w:val="fr-FR"/>
        </w:rPr>
        <w:footnoteReference w:id="2"/>
      </w:r>
    </w:p>
    <w:p>
      <w:pPr>
        <w:pStyle w:val="Normal"/>
        <w:widowControl w:val="false"/>
        <w:tabs>
          <w:tab w:val="left" w:pos="90" w:leader="none"/>
        </w:tabs>
        <w:jc w:val="both"/>
        <w:rPr>
          <w:sz w:val="20"/>
          <w:szCs w:val="20"/>
          <w:lang w:val="fr-FR"/>
        </w:rPr>
      </w:pPr>
      <w:r>
        <w:rPr>
          <w:sz w:val="18"/>
          <w:szCs w:val="18"/>
          <w:lang w:val="fr-FR"/>
        </w:rPr>
        <w:t>Directeur des Pêches Maritimes et Océaniques, Ministère de l'Agriculture, du Développement Rural et de la Pêche, Route des Quatre Canons, 16000</w:t>
      </w:r>
    </w:p>
    <w:p>
      <w:pPr>
        <w:pStyle w:val="Normal"/>
        <w:widowControl w:val="false"/>
        <w:tabs>
          <w:tab w:val="left" w:pos="90" w:leader="none"/>
        </w:tabs>
        <w:jc w:val="both"/>
        <w:rPr>
          <w:sz w:val="23"/>
          <w:szCs w:val="23"/>
          <w:lang w:val="fr-FR"/>
        </w:rPr>
      </w:pPr>
      <w:r>
        <w:rPr>
          <w:sz w:val="18"/>
          <w:szCs w:val="18"/>
          <w:lang w:val="fr-FR"/>
        </w:rPr>
        <w:t>Tel: +213 21 43 31 97, Fax: +213 21 43 38 39, E-Mail: dpmo@mpeche.gov.dz; kadomar13@gmail.com</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BELIZE</w:t>
      </w:r>
    </w:p>
    <w:p>
      <w:pPr>
        <w:pStyle w:val="Normal"/>
        <w:widowControl w:val="false"/>
        <w:tabs>
          <w:tab w:val="left" w:pos="90" w:leader="none"/>
        </w:tabs>
        <w:jc w:val="both"/>
        <w:rPr>
          <w:b/>
          <w:b/>
          <w:bCs/>
          <w:sz w:val="23"/>
          <w:szCs w:val="23"/>
          <w:lang w:val="fr-FR"/>
        </w:rPr>
      </w:pPr>
      <w:r>
        <w:rPr>
          <w:b/>
          <w:bCs/>
          <w:sz w:val="18"/>
          <w:szCs w:val="18"/>
          <w:lang w:val="fr-FR"/>
        </w:rPr>
        <w:t xml:space="preserve">Robinson, </w:t>
      </w:r>
      <w:r>
        <w:rPr>
          <w:bCs/>
          <w:sz w:val="18"/>
          <w:szCs w:val="18"/>
          <w:lang w:val="fr-FR"/>
        </w:rPr>
        <w:t>Robert *</w:t>
      </w:r>
    </w:p>
    <w:p>
      <w:pPr>
        <w:pStyle w:val="Normal"/>
        <w:widowControl w:val="false"/>
        <w:tabs>
          <w:tab w:val="left" w:pos="90" w:leader="none"/>
        </w:tabs>
        <w:jc w:val="both"/>
        <w:rPr>
          <w:sz w:val="20"/>
          <w:szCs w:val="20"/>
        </w:rPr>
      </w:pPr>
      <w:r>
        <w:rPr>
          <w:sz w:val="18"/>
          <w:szCs w:val="18"/>
        </w:rPr>
        <w:t>Deputy Director of the BHSFU, Belize High Seas Fisheries Unit, Ministry of Finance, Government of Belize, Marina Towers, Suite 204, Newtown Barracks</w:t>
      </w:r>
    </w:p>
    <w:p>
      <w:pPr>
        <w:pStyle w:val="Normal"/>
        <w:widowControl w:val="false"/>
        <w:tabs>
          <w:tab w:val="left" w:pos="90" w:leader="none"/>
        </w:tabs>
        <w:jc w:val="both"/>
        <w:rPr>
          <w:sz w:val="23"/>
          <w:szCs w:val="23"/>
          <w:lang w:val="es-ES"/>
        </w:rPr>
      </w:pPr>
      <w:r>
        <w:rPr>
          <w:sz w:val="18"/>
          <w:szCs w:val="18"/>
          <w:lang w:val="es-ES"/>
        </w:rPr>
        <w:t>Tel: +501 22 34918, Fax: +501 22 35087, E-Mail: deputydirector@bhsfu.gov.bz</w:t>
      </w:r>
    </w:p>
    <w:p>
      <w:pPr>
        <w:pStyle w:val="Normal"/>
        <w:widowControl w:val="false"/>
        <w:tabs>
          <w:tab w:val="left" w:pos="90" w:leader="none"/>
        </w:tabs>
        <w:jc w:val="both"/>
        <w:rPr>
          <w:b/>
          <w:b/>
          <w:bCs/>
          <w:sz w:val="20"/>
          <w:szCs w:val="20"/>
          <w:lang w:val="es-ES"/>
        </w:rPr>
      </w:pPr>
      <w:r>
        <w:rPr>
          <w:b/>
          <w:bCs/>
          <w:sz w:val="20"/>
          <w:szCs w:val="20"/>
          <w:lang w:val="es-ES"/>
        </w:rPr>
      </w:r>
    </w:p>
    <w:p>
      <w:pPr>
        <w:pStyle w:val="Normal"/>
        <w:widowControl w:val="false"/>
        <w:tabs>
          <w:tab w:val="left" w:pos="90" w:leader="none"/>
        </w:tabs>
        <w:jc w:val="both"/>
        <w:rPr>
          <w:b/>
          <w:b/>
          <w:bCs/>
          <w:sz w:val="25"/>
          <w:szCs w:val="25"/>
          <w:lang w:val="es-ES"/>
        </w:rPr>
      </w:pPr>
      <w:r>
        <w:rPr>
          <w:b/>
          <w:bCs/>
          <w:sz w:val="20"/>
          <w:szCs w:val="20"/>
          <w:lang w:val="es-ES"/>
        </w:rPr>
        <w:t>BRAZIL</w:t>
      </w:r>
    </w:p>
    <w:p>
      <w:pPr>
        <w:pStyle w:val="Normal"/>
        <w:jc w:val="both"/>
        <w:rPr>
          <w:sz w:val="18"/>
          <w:szCs w:val="18"/>
          <w:lang w:val="es-ES"/>
        </w:rPr>
      </w:pPr>
      <w:r>
        <w:rPr>
          <w:b/>
          <w:bCs/>
          <w:sz w:val="18"/>
          <w:szCs w:val="18"/>
          <w:lang w:val="es-ES"/>
        </w:rPr>
        <w:t xml:space="preserve">Hazin, </w:t>
      </w:r>
      <w:r>
        <w:rPr>
          <w:sz w:val="18"/>
          <w:szCs w:val="18"/>
          <w:lang w:val="es-ES"/>
        </w:rPr>
        <w:t>Fabio H. V. *</w:t>
      </w:r>
    </w:p>
    <w:p>
      <w:pPr>
        <w:pStyle w:val="Normal"/>
        <w:jc w:val="both"/>
        <w:rPr>
          <w:sz w:val="18"/>
          <w:szCs w:val="18"/>
          <w:lang w:val="es-ES"/>
        </w:rPr>
      </w:pPr>
      <w:r>
        <w:rPr>
          <w:sz w:val="18"/>
          <w:szCs w:val="18"/>
          <w:lang w:val="es-ES"/>
        </w:rPr>
        <w:t>Universidade Federal Rural de Pernambuco - UFRPE / Departamento de Pesca e Aqüicultura - DEPAq, Rua Dois Irmãos, 447, Apto. 603-B, Apipucos, Recife, Pernambuco</w:t>
      </w:r>
    </w:p>
    <w:p>
      <w:pPr>
        <w:pStyle w:val="Normal"/>
        <w:jc w:val="both"/>
        <w:rPr/>
      </w:pPr>
      <w:r>
        <w:rPr>
          <w:sz w:val="18"/>
          <w:szCs w:val="18"/>
          <w:lang w:val="fr-FR"/>
        </w:rPr>
        <w:t xml:space="preserve">Tel: +55 81 9997 26348, Fax: +55 81 3320 6512, E-Mail: </w:t>
      </w:r>
      <w:hyperlink r:id="rId5">
        <w:r>
          <w:rPr>
            <w:rStyle w:val="InternetLink"/>
            <w:color w:val="00000A"/>
            <w:sz w:val="18"/>
            <w:szCs w:val="18"/>
            <w:u w:val="none"/>
            <w:lang w:val="fr-FR"/>
          </w:rPr>
          <w:t>fabio.hazin@depaq.ufrpe.br</w:t>
        </w:r>
      </w:hyperlink>
      <w:r>
        <w:rPr>
          <w:sz w:val="18"/>
          <w:szCs w:val="18"/>
          <w:lang w:val="fr-FR"/>
        </w:rPr>
        <w:t xml:space="preserve">; </w:t>
      </w:r>
      <w:hyperlink r:id="rId6">
        <w:r>
          <w:rPr>
            <w:rStyle w:val="InternetLink"/>
            <w:color w:val="00000A"/>
            <w:sz w:val="18"/>
            <w:szCs w:val="18"/>
            <w:u w:val="none"/>
            <w:lang w:val="fr-FR"/>
          </w:rPr>
          <w:t>fhvhazin@terra.com.br</w:t>
        </w:r>
      </w:hyperlink>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CANADA</w:t>
      </w:r>
    </w:p>
    <w:p>
      <w:pPr>
        <w:pStyle w:val="Normal"/>
        <w:widowControl w:val="false"/>
        <w:tabs>
          <w:tab w:val="left" w:pos="90" w:leader="none"/>
        </w:tabs>
        <w:jc w:val="both"/>
        <w:rPr>
          <w:bCs/>
          <w:sz w:val="23"/>
          <w:szCs w:val="23"/>
          <w:lang w:val="fr-FR"/>
        </w:rPr>
      </w:pPr>
      <w:r>
        <w:rPr>
          <w:b/>
          <w:bCs/>
          <w:sz w:val="18"/>
          <w:szCs w:val="18"/>
          <w:lang w:val="fr-FR"/>
        </w:rPr>
        <w:t xml:space="preserve">Day, </w:t>
      </w:r>
      <w:r>
        <w:rPr>
          <w:bCs/>
          <w:sz w:val="18"/>
          <w:szCs w:val="18"/>
          <w:lang w:val="fr-FR"/>
        </w:rPr>
        <w:t>Robert *</w:t>
      </w:r>
    </w:p>
    <w:p>
      <w:pPr>
        <w:pStyle w:val="Normal"/>
        <w:widowControl w:val="false"/>
        <w:tabs>
          <w:tab w:val="left" w:pos="90" w:leader="none"/>
        </w:tabs>
        <w:jc w:val="both"/>
        <w:rPr>
          <w:sz w:val="20"/>
          <w:szCs w:val="20"/>
        </w:rPr>
      </w:pPr>
      <w:r>
        <w:rPr>
          <w:sz w:val="18"/>
          <w:szCs w:val="18"/>
        </w:rPr>
        <w:t>Director, International Fisheries Management and Bilateral Relations, Fisheries Resources Management, Ecosystems and Fisheries Management, Floor 14E, 200 Kent St. Mailstop 14E241, Ottawa, Ontario K1A 0E6</w:t>
      </w:r>
    </w:p>
    <w:p>
      <w:pPr>
        <w:pStyle w:val="Normal"/>
        <w:widowControl w:val="false"/>
        <w:tabs>
          <w:tab w:val="left" w:pos="90" w:leader="none"/>
        </w:tabs>
        <w:jc w:val="both"/>
        <w:rPr>
          <w:sz w:val="23"/>
          <w:szCs w:val="23"/>
        </w:rPr>
      </w:pPr>
      <w:r>
        <w:rPr>
          <w:sz w:val="18"/>
          <w:szCs w:val="18"/>
        </w:rPr>
        <w:t>Tel: +1 613 991 6135, Fax: +1 613 993 5995, E-Mail: Robert.Day@dfo-mpo.gc.ca</w:t>
      </w:r>
    </w:p>
    <w:p>
      <w:pPr>
        <w:pStyle w:val="Normal"/>
        <w:widowControl w:val="false"/>
        <w:tabs>
          <w:tab w:val="left" w:pos="90" w:leader="none"/>
        </w:tabs>
        <w:jc w:val="both"/>
        <w:rPr>
          <w:b/>
          <w:b/>
          <w:bCs/>
          <w:sz w:val="18"/>
          <w:szCs w:val="18"/>
        </w:rPr>
      </w:pPr>
      <w:r>
        <w:rPr>
          <w:b/>
          <w:bCs/>
          <w:sz w:val="18"/>
          <w:szCs w:val="18"/>
        </w:rPr>
      </w:r>
    </w:p>
    <w:p>
      <w:pPr>
        <w:pStyle w:val="Default"/>
        <w:rPr>
          <w:rFonts w:ascii="Cambria" w:hAnsi="Cambria" w:asciiTheme="minorHAnsi" w:hAnsiTheme="minorHAnsi"/>
          <w:color w:val="00000A"/>
          <w:sz w:val="18"/>
          <w:szCs w:val="18"/>
          <w:lang w:val="en-GB" w:eastAsia="fr-FR"/>
        </w:rPr>
      </w:pPr>
      <w:r>
        <w:rPr>
          <w:rFonts w:asciiTheme="minorHAnsi" w:hAnsiTheme="minorHAnsi"/>
          <w:b/>
          <w:bCs/>
          <w:color w:val="00000A"/>
          <w:sz w:val="18"/>
          <w:szCs w:val="18"/>
          <w:lang w:val="en-GB"/>
        </w:rPr>
        <w:t xml:space="preserve">Berthier, </w:t>
      </w:r>
      <w:r>
        <w:rPr>
          <w:rFonts w:asciiTheme="minorHAnsi" w:hAnsiTheme="minorHAnsi"/>
          <w:color w:val="00000A"/>
          <w:sz w:val="18"/>
          <w:szCs w:val="18"/>
          <w:lang w:val="en-GB"/>
        </w:rPr>
        <w:t xml:space="preserve">Jacinta </w:t>
      </w:r>
    </w:p>
    <w:p>
      <w:pPr>
        <w:pStyle w:val="Default"/>
        <w:jc w:val="both"/>
        <w:rPr>
          <w:rFonts w:ascii="Cambria" w:hAnsi="Cambria" w:asciiTheme="minorHAnsi" w:hAnsiTheme="minorHAnsi"/>
          <w:color w:val="00000A"/>
          <w:sz w:val="18"/>
          <w:szCs w:val="18"/>
          <w:lang w:val="en-GB"/>
        </w:rPr>
      </w:pPr>
      <w:r>
        <w:rPr>
          <w:rFonts w:asciiTheme="minorHAnsi" w:hAnsiTheme="minorHAnsi"/>
          <w:color w:val="00000A"/>
          <w:sz w:val="18"/>
          <w:szCs w:val="18"/>
          <w:lang w:val="en-GB"/>
        </w:rPr>
        <w:t xml:space="preserve">Director, Resource Management, Fisheries and Oceans Canada, 1 Challenger Drive, Dartmouth Nova Scotia B2A 4A2, Canada </w:t>
      </w:r>
    </w:p>
    <w:p>
      <w:pPr>
        <w:pStyle w:val="Normal"/>
        <w:rPr/>
      </w:pPr>
      <w:r>
        <w:rPr>
          <w:sz w:val="18"/>
          <w:szCs w:val="18"/>
          <w:lang w:val="en-GB"/>
        </w:rPr>
        <w:t xml:space="preserve">Tel: +1 (902) 426 7681, Fax: +1 (902) 426 8003, E-Mail: </w:t>
      </w:r>
      <w:hyperlink r:id="rId7">
        <w:r>
          <w:rPr>
            <w:rStyle w:val="InternetLink"/>
            <w:color w:val="00000A"/>
            <w:sz w:val="18"/>
            <w:szCs w:val="18"/>
            <w:u w:val="none"/>
            <w:lang w:val="en-GB"/>
          </w:rPr>
          <w:t>jacinta.berthier@dfo-mpo.gc.ca</w:t>
        </w:r>
      </w:hyperlink>
    </w:p>
    <w:p>
      <w:pPr>
        <w:pStyle w:val="Normal"/>
        <w:widowControl w:val="false"/>
        <w:tabs>
          <w:tab w:val="left" w:pos="90" w:leader="none"/>
        </w:tabs>
        <w:jc w:val="both"/>
        <w:rPr>
          <w:b/>
          <w:b/>
          <w:bCs/>
          <w:sz w:val="18"/>
          <w:szCs w:val="18"/>
          <w:lang w:val="en-GB"/>
        </w:rPr>
      </w:pPr>
      <w:r>
        <w:rPr>
          <w:b/>
          <w:bCs/>
          <w:sz w:val="18"/>
          <w:szCs w:val="18"/>
          <w:lang w:val="en-GB"/>
        </w:rPr>
      </w:r>
    </w:p>
    <w:p>
      <w:pPr>
        <w:pStyle w:val="Normal"/>
        <w:widowControl w:val="false"/>
        <w:tabs>
          <w:tab w:val="left" w:pos="90" w:leader="none"/>
        </w:tabs>
        <w:jc w:val="both"/>
        <w:rPr>
          <w:b/>
          <w:b/>
          <w:bCs/>
          <w:sz w:val="23"/>
          <w:szCs w:val="23"/>
          <w:lang w:val="en-GB"/>
        </w:rPr>
      </w:pPr>
      <w:r>
        <w:rPr>
          <w:b/>
          <w:bCs/>
          <w:sz w:val="18"/>
          <w:szCs w:val="18"/>
          <w:lang w:val="en-GB"/>
        </w:rPr>
        <w:t xml:space="preserve">Vuckovic, </w:t>
      </w:r>
      <w:r>
        <w:rPr>
          <w:bCs/>
          <w:sz w:val="18"/>
          <w:szCs w:val="18"/>
          <w:lang w:val="en-GB"/>
        </w:rPr>
        <w:t>Ljubica</w:t>
      </w:r>
    </w:p>
    <w:p>
      <w:pPr>
        <w:pStyle w:val="Normal"/>
        <w:widowControl w:val="false"/>
        <w:tabs>
          <w:tab w:val="left" w:pos="90" w:leader="none"/>
        </w:tabs>
        <w:jc w:val="both"/>
        <w:rPr>
          <w:sz w:val="18"/>
          <w:szCs w:val="18"/>
          <w:lang w:val="en-GB"/>
        </w:rPr>
      </w:pPr>
      <w:r>
        <w:rPr>
          <w:sz w:val="18"/>
          <w:szCs w:val="18"/>
          <w:lang w:val="en-GB"/>
        </w:rPr>
        <w:t>Senior Advisor, Resource Management and Bilateral Relations, International Fisheries Management, Fisheries and Oceans Canada / Ministère des Pêches et Océans</w:t>
      </w:r>
    </w:p>
    <w:p>
      <w:pPr>
        <w:pStyle w:val="Normal"/>
        <w:widowControl w:val="false"/>
        <w:tabs>
          <w:tab w:val="left" w:pos="90" w:leader="none"/>
        </w:tabs>
        <w:jc w:val="both"/>
        <w:rPr>
          <w:sz w:val="23"/>
          <w:szCs w:val="23"/>
        </w:rPr>
      </w:pPr>
      <w:r>
        <w:rPr>
          <w:sz w:val="18"/>
          <w:szCs w:val="18"/>
        </w:rPr>
        <w:t>200 Kent Str., Ottawa, ON, K1A OE6, MAILSTOP 14E241</w:t>
      </w:r>
    </w:p>
    <w:p>
      <w:pPr>
        <w:pStyle w:val="Normal"/>
        <w:widowControl w:val="false"/>
        <w:tabs>
          <w:tab w:val="left" w:pos="90" w:leader="none"/>
        </w:tabs>
        <w:jc w:val="both"/>
        <w:rPr>
          <w:sz w:val="23"/>
          <w:szCs w:val="23"/>
          <w:lang w:val="fr-FR"/>
        </w:rPr>
      </w:pPr>
      <w:r>
        <w:rPr>
          <w:sz w:val="18"/>
          <w:szCs w:val="18"/>
          <w:lang w:val="fr-FR"/>
        </w:rPr>
        <w:t>Tel: + 613 998 9031; E-Mail: Ljubica.Vuckovic@dfo-mpo.gc.ca</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CHINA, (P. R.)</w:t>
      </w:r>
    </w:p>
    <w:p>
      <w:pPr>
        <w:pStyle w:val="Normal"/>
        <w:widowControl w:val="false"/>
        <w:tabs>
          <w:tab w:val="left" w:pos="90" w:leader="none"/>
        </w:tabs>
        <w:jc w:val="both"/>
        <w:rPr>
          <w:b/>
          <w:b/>
          <w:bCs/>
          <w:sz w:val="23"/>
          <w:szCs w:val="23"/>
          <w:lang w:val="fr-FR"/>
        </w:rPr>
      </w:pPr>
      <w:r>
        <w:rPr>
          <w:b/>
          <w:bCs/>
          <w:sz w:val="18"/>
          <w:szCs w:val="18"/>
          <w:lang w:val="fr-FR"/>
        </w:rPr>
        <w:t xml:space="preserve">Liu, </w:t>
      </w:r>
      <w:r>
        <w:rPr>
          <w:bCs/>
          <w:sz w:val="18"/>
          <w:szCs w:val="18"/>
          <w:lang w:val="fr-FR"/>
        </w:rPr>
        <w:t>Ce *</w:t>
      </w:r>
    </w:p>
    <w:p>
      <w:pPr>
        <w:pStyle w:val="Normal"/>
        <w:widowControl w:val="false"/>
        <w:tabs>
          <w:tab w:val="left" w:pos="90" w:leader="none"/>
        </w:tabs>
        <w:jc w:val="both"/>
        <w:rPr>
          <w:sz w:val="20"/>
          <w:szCs w:val="20"/>
        </w:rPr>
      </w:pPr>
      <w:r>
        <w:rPr>
          <w:sz w:val="18"/>
          <w:szCs w:val="18"/>
        </w:rPr>
        <w:t>Deputy Director, Department of High Seas Fisheries, China Overseas Fisheries Association Room No. 1216 Jingchao Mansion, No. 5, Nongzhanguan Nanli, Beijing Chaoyang District</w:t>
      </w:r>
    </w:p>
    <w:p>
      <w:pPr>
        <w:pStyle w:val="Normal"/>
        <w:widowControl w:val="false"/>
        <w:tabs>
          <w:tab w:val="left" w:pos="90" w:leader="none"/>
        </w:tabs>
        <w:jc w:val="both"/>
        <w:rPr>
          <w:sz w:val="23"/>
          <w:szCs w:val="23"/>
          <w:lang w:val="fr-FR"/>
        </w:rPr>
      </w:pPr>
      <w:r>
        <w:rPr>
          <w:sz w:val="18"/>
          <w:szCs w:val="18"/>
          <w:lang w:val="fr-FR"/>
        </w:rPr>
        <w:t>Tel: +86 10 6585 1985, Fax: +86 10 6585 0551, E-Mail: liuce1029@163.com; admin1@tuna.org.cn</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5"/>
          <w:szCs w:val="25"/>
          <w:lang w:val="fr-FR"/>
        </w:rPr>
      </w:pPr>
      <w:r>
        <w:rPr>
          <w:b/>
          <w:bCs/>
          <w:sz w:val="20"/>
          <w:szCs w:val="20"/>
          <w:lang w:val="fr-FR"/>
        </w:rPr>
        <w:t>CÔTE D'IVOIRE</w:t>
      </w:r>
    </w:p>
    <w:p>
      <w:pPr>
        <w:pStyle w:val="Normal"/>
        <w:widowControl w:val="false"/>
        <w:tabs>
          <w:tab w:val="left" w:pos="90" w:leader="none"/>
        </w:tabs>
        <w:jc w:val="both"/>
        <w:rPr>
          <w:bCs/>
          <w:sz w:val="23"/>
          <w:szCs w:val="23"/>
          <w:lang w:val="fr-FR"/>
        </w:rPr>
      </w:pPr>
      <w:r>
        <w:rPr>
          <w:b/>
          <w:bCs/>
          <w:sz w:val="18"/>
          <w:szCs w:val="18"/>
          <w:lang w:val="fr-FR"/>
        </w:rPr>
        <w:t xml:space="preserve">Fofana, </w:t>
      </w:r>
      <w:r>
        <w:rPr>
          <w:bCs/>
          <w:sz w:val="18"/>
          <w:szCs w:val="18"/>
          <w:lang w:val="fr-FR"/>
        </w:rPr>
        <w:t>Bina *</w:t>
      </w:r>
    </w:p>
    <w:p>
      <w:pPr>
        <w:pStyle w:val="Normal"/>
        <w:widowControl w:val="false"/>
        <w:tabs>
          <w:tab w:val="left" w:pos="90" w:leader="none"/>
        </w:tabs>
        <w:jc w:val="both"/>
        <w:rPr>
          <w:sz w:val="20"/>
          <w:szCs w:val="20"/>
          <w:lang w:val="fr-FR"/>
        </w:rPr>
      </w:pPr>
      <w:r>
        <w:rPr>
          <w:sz w:val="18"/>
          <w:szCs w:val="18"/>
          <w:lang w:val="fr-FR"/>
        </w:rPr>
        <w:t>Sous-directeur des Pêches Maritime et Lagunaire, Ministère des Ressources Animales et Halieutiques de la République de Côte d'Ivoire, BP V19, Abidjan</w:t>
      </w:r>
    </w:p>
    <w:p>
      <w:pPr>
        <w:pStyle w:val="Normal"/>
        <w:widowControl w:val="false"/>
        <w:tabs>
          <w:tab w:val="left" w:pos="90" w:leader="none"/>
        </w:tabs>
        <w:jc w:val="both"/>
        <w:rPr>
          <w:sz w:val="23"/>
          <w:szCs w:val="23"/>
          <w:lang w:val="es-ES"/>
        </w:rPr>
      </w:pPr>
      <w:r>
        <w:rPr>
          <w:sz w:val="18"/>
          <w:szCs w:val="18"/>
          <w:lang w:val="es-ES"/>
        </w:rPr>
        <w:t xml:space="preserve">Tel: +225 07 655 102; +225 21 356 315, Fax: +225 21 356315, E-Mail: binafof@yahoo.fr; binalafig@aviso.ci; </w:t>
      </w:r>
    </w:p>
    <w:p>
      <w:pPr>
        <w:pStyle w:val="Normal"/>
        <w:widowControl w:val="false"/>
        <w:tabs>
          <w:tab w:val="left" w:pos="90" w:leader="none"/>
        </w:tabs>
        <w:jc w:val="both"/>
        <w:rPr>
          <w:sz w:val="20"/>
          <w:szCs w:val="20"/>
          <w:lang w:val="es-ES"/>
        </w:rPr>
      </w:pPr>
      <w:r>
        <w:rPr>
          <w:sz w:val="18"/>
          <w:szCs w:val="18"/>
          <w:lang w:val="es-ES"/>
        </w:rPr>
        <w:t>bina.fofana@egouv.ci</w:t>
      </w:r>
    </w:p>
    <w:p>
      <w:pPr>
        <w:pStyle w:val="Normal"/>
        <w:widowControl w:val="false"/>
        <w:tabs>
          <w:tab w:val="left" w:pos="90" w:leader="none"/>
        </w:tabs>
        <w:jc w:val="both"/>
        <w:rPr>
          <w:b/>
          <w:b/>
          <w:bCs/>
          <w:sz w:val="20"/>
          <w:szCs w:val="20"/>
          <w:lang w:val="es-ES"/>
        </w:rPr>
      </w:pPr>
      <w:r>
        <w:rPr>
          <w:b/>
          <w:bCs/>
          <w:sz w:val="20"/>
          <w:szCs w:val="20"/>
          <w:lang w:val="es-ES"/>
        </w:rPr>
      </w:r>
    </w:p>
    <w:p>
      <w:pPr>
        <w:pStyle w:val="Normal"/>
        <w:widowControl w:val="false"/>
        <w:tabs>
          <w:tab w:val="left" w:pos="90" w:leader="none"/>
        </w:tabs>
        <w:jc w:val="both"/>
        <w:rPr>
          <w:b/>
          <w:b/>
          <w:bCs/>
          <w:sz w:val="25"/>
          <w:szCs w:val="25"/>
          <w:lang w:val="es-ES"/>
        </w:rPr>
      </w:pPr>
      <w:r>
        <w:rPr>
          <w:b/>
          <w:bCs/>
          <w:sz w:val="20"/>
          <w:szCs w:val="20"/>
          <w:lang w:val="es-ES"/>
        </w:rPr>
        <w:t>EUROPEAN UNION</w:t>
      </w:r>
    </w:p>
    <w:p>
      <w:pPr>
        <w:pStyle w:val="Normal"/>
        <w:widowControl w:val="false"/>
        <w:tabs>
          <w:tab w:val="left" w:pos="90" w:leader="none"/>
        </w:tabs>
        <w:jc w:val="both"/>
        <w:rPr>
          <w:bCs/>
          <w:sz w:val="23"/>
          <w:szCs w:val="23"/>
          <w:lang w:val="es-ES"/>
        </w:rPr>
      </w:pPr>
      <w:r>
        <w:rPr>
          <w:b/>
          <w:bCs/>
          <w:sz w:val="18"/>
          <w:szCs w:val="18"/>
          <w:lang w:val="es-ES"/>
        </w:rPr>
        <w:t xml:space="preserve">Arena, </w:t>
      </w:r>
      <w:r>
        <w:rPr>
          <w:bCs/>
          <w:sz w:val="18"/>
          <w:szCs w:val="18"/>
          <w:lang w:val="es-ES"/>
        </w:rPr>
        <w:t>Francesca *</w:t>
      </w:r>
    </w:p>
    <w:p>
      <w:pPr>
        <w:pStyle w:val="Normal"/>
        <w:widowControl w:val="false"/>
        <w:tabs>
          <w:tab w:val="left" w:pos="90" w:leader="none"/>
        </w:tabs>
        <w:jc w:val="both"/>
        <w:rPr>
          <w:sz w:val="20"/>
          <w:szCs w:val="20"/>
        </w:rPr>
      </w:pPr>
      <w:r>
        <w:rPr>
          <w:sz w:val="18"/>
          <w:szCs w:val="18"/>
        </w:rPr>
        <w:t>European Commission - DG MARE, Unit B1 International Affairs, Law of Sea and Regional Fisheries Management, Rue Joseph II, J99 03/66, 1049 Brussels, Belgium</w:t>
      </w:r>
    </w:p>
    <w:p>
      <w:pPr>
        <w:pStyle w:val="Normal"/>
        <w:widowControl w:val="false"/>
        <w:tabs>
          <w:tab w:val="left" w:pos="90" w:leader="none"/>
        </w:tabs>
        <w:jc w:val="both"/>
        <w:rPr>
          <w:sz w:val="23"/>
          <w:szCs w:val="23"/>
          <w:lang w:val="fr-FR"/>
        </w:rPr>
      </w:pPr>
      <w:r>
        <w:rPr>
          <w:sz w:val="18"/>
          <w:szCs w:val="18"/>
          <w:lang w:val="fr-FR"/>
        </w:rPr>
        <w:t>Tel: +32 22961364, Fax: E-Mail: Francesca.arena@ec.europa.eu</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3"/>
          <w:szCs w:val="23"/>
          <w:lang w:val="fr-FR"/>
        </w:rPr>
      </w:pPr>
      <w:r>
        <w:rPr>
          <w:b/>
          <w:bCs/>
          <w:sz w:val="18"/>
          <w:szCs w:val="18"/>
          <w:lang w:val="fr-FR"/>
        </w:rPr>
        <w:t xml:space="preserve">Daniel, </w:t>
      </w:r>
      <w:r>
        <w:rPr>
          <w:bCs/>
          <w:sz w:val="18"/>
          <w:szCs w:val="18"/>
          <w:lang w:val="fr-FR"/>
        </w:rPr>
        <w:t>Patrick</w:t>
      </w:r>
    </w:p>
    <w:p>
      <w:pPr>
        <w:pStyle w:val="Normal"/>
        <w:widowControl w:val="false"/>
        <w:tabs>
          <w:tab w:val="left" w:pos="90" w:leader="none"/>
        </w:tabs>
        <w:jc w:val="both"/>
        <w:rPr>
          <w:sz w:val="18"/>
          <w:szCs w:val="18"/>
          <w:lang w:val="fr-FR"/>
        </w:rPr>
      </w:pPr>
      <w:r>
        <w:rPr>
          <w:sz w:val="18"/>
          <w:szCs w:val="18"/>
          <w:lang w:val="fr-FR"/>
        </w:rPr>
        <w:t>Commission européenne - DG MARE, J-99 02/17, 1000 Bruxelles, Belgium</w:t>
      </w:r>
    </w:p>
    <w:p>
      <w:pPr>
        <w:pStyle w:val="Normal"/>
        <w:widowControl w:val="false"/>
        <w:tabs>
          <w:tab w:val="left" w:pos="90" w:leader="none"/>
        </w:tabs>
        <w:jc w:val="both"/>
        <w:rPr>
          <w:sz w:val="23"/>
          <w:szCs w:val="23"/>
        </w:rPr>
      </w:pPr>
      <w:r>
        <w:rPr>
          <w:sz w:val="18"/>
          <w:szCs w:val="18"/>
        </w:rPr>
        <w:t>Tel: +32 229 554 58, E-Mail: patrick.daniel@ec.europa.eu</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sz w:val="18"/>
          <w:szCs w:val="18"/>
        </w:rPr>
      </w:pPr>
      <w:r>
        <w:rPr>
          <w:b/>
          <w:sz w:val="18"/>
          <w:szCs w:val="18"/>
        </w:rPr>
        <w:t>Donatella</w:t>
      </w:r>
      <w:r>
        <w:rPr>
          <w:sz w:val="18"/>
          <w:szCs w:val="18"/>
        </w:rPr>
        <w:t>, Fabrizio</w:t>
      </w:r>
    </w:p>
    <w:p>
      <w:pPr>
        <w:pStyle w:val="Normal"/>
        <w:widowControl w:val="false"/>
        <w:tabs>
          <w:tab w:val="left" w:pos="90" w:leader="none"/>
        </w:tabs>
        <w:jc w:val="both"/>
        <w:rPr>
          <w:sz w:val="18"/>
          <w:szCs w:val="18"/>
        </w:rPr>
      </w:pPr>
      <w:r>
        <w:rPr>
          <w:sz w:val="18"/>
          <w:szCs w:val="18"/>
        </w:rPr>
        <w:t>Directorate-General for Maritime Affairs and Fisheries</w:t>
      </w:r>
    </w:p>
    <w:p>
      <w:pPr>
        <w:pStyle w:val="Normal"/>
        <w:widowControl w:val="false"/>
        <w:tabs>
          <w:tab w:val="left" w:pos="90" w:leader="none"/>
        </w:tabs>
        <w:jc w:val="both"/>
        <w:rPr>
          <w:sz w:val="18"/>
          <w:szCs w:val="18"/>
          <w:lang w:val="fr-FR"/>
        </w:rPr>
      </w:pPr>
      <w:r>
        <w:rPr>
          <w:sz w:val="18"/>
          <w:szCs w:val="18"/>
          <w:lang w:val="fr-FR"/>
        </w:rPr>
        <w:t>Rue Joseph II/Jozef II-straat 99, B-1000 Bruxelles/Brussels</w:t>
      </w:r>
    </w:p>
    <w:p>
      <w:pPr>
        <w:pStyle w:val="Normal"/>
        <w:widowControl w:val="false"/>
        <w:tabs>
          <w:tab w:val="left" w:pos="90" w:leader="none"/>
        </w:tabs>
        <w:jc w:val="both"/>
        <w:rPr>
          <w:sz w:val="18"/>
          <w:szCs w:val="18"/>
          <w:lang w:val="es-ES"/>
        </w:rPr>
      </w:pPr>
      <w:r>
        <w:rPr>
          <w:sz w:val="18"/>
          <w:szCs w:val="18"/>
          <w:lang w:val="es-ES"/>
        </w:rPr>
        <w:t>Tel: +32 2 296 80 38, Fax: +32 2 299 57 60, E-mail: fabrizio.donatella@ec.europa.eu</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
          <w:b/>
          <w:bCs/>
          <w:sz w:val="23"/>
          <w:szCs w:val="23"/>
          <w:lang w:val="es-ES"/>
        </w:rPr>
      </w:pPr>
      <w:r>
        <w:rPr>
          <w:b/>
          <w:bCs/>
          <w:sz w:val="18"/>
          <w:szCs w:val="18"/>
          <w:lang w:val="es-ES"/>
        </w:rPr>
        <w:t xml:space="preserve">Garmendia, </w:t>
      </w:r>
      <w:r>
        <w:rPr>
          <w:bCs/>
          <w:sz w:val="18"/>
          <w:szCs w:val="18"/>
          <w:lang w:val="es-ES"/>
        </w:rPr>
        <w:t>Maria Antonia</w:t>
      </w:r>
    </w:p>
    <w:p>
      <w:pPr>
        <w:pStyle w:val="Normal"/>
        <w:widowControl w:val="false"/>
        <w:tabs>
          <w:tab w:val="left" w:pos="90" w:leader="none"/>
        </w:tabs>
        <w:jc w:val="both"/>
        <w:rPr>
          <w:sz w:val="23"/>
          <w:szCs w:val="23"/>
          <w:lang w:val="es-ES"/>
        </w:rPr>
      </w:pPr>
      <w:r>
        <w:rPr>
          <w:sz w:val="18"/>
          <w:szCs w:val="18"/>
          <w:lang w:val="es-ES"/>
        </w:rPr>
        <w:t>Federación de Cofradías de Guipuzcoa (OPEGUI), C/ Miraconcha, 9 Bajo, 20007 Guipuzcoa Donostia, España</w:t>
      </w:r>
    </w:p>
    <w:p>
      <w:pPr>
        <w:pStyle w:val="Normal"/>
        <w:widowControl w:val="false"/>
        <w:tabs>
          <w:tab w:val="left" w:pos="90" w:leader="none"/>
        </w:tabs>
        <w:jc w:val="both"/>
        <w:rPr>
          <w:sz w:val="23"/>
          <w:szCs w:val="23"/>
        </w:rPr>
      </w:pPr>
      <w:r>
        <w:rPr>
          <w:sz w:val="18"/>
          <w:szCs w:val="18"/>
        </w:rPr>
        <w:t>Tel: +34 943451782, Fax: +34 943455833; E-Mail: gecopegui@gecopegui.net</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Peyronnet, </w:t>
      </w:r>
      <w:r>
        <w:rPr>
          <w:bCs/>
          <w:sz w:val="18"/>
          <w:szCs w:val="18"/>
        </w:rPr>
        <w:t>Arnaud</w:t>
      </w:r>
    </w:p>
    <w:p>
      <w:pPr>
        <w:pStyle w:val="Normal"/>
        <w:widowControl w:val="false"/>
        <w:tabs>
          <w:tab w:val="left" w:pos="90" w:leader="none"/>
        </w:tabs>
        <w:jc w:val="both"/>
        <w:rPr>
          <w:sz w:val="20"/>
          <w:szCs w:val="20"/>
        </w:rPr>
      </w:pPr>
      <w:r>
        <w:rPr>
          <w:sz w:val="18"/>
          <w:szCs w:val="18"/>
        </w:rPr>
        <w:t>Directorate-General, European Commission _ DG MARE D2, Conservation and Control in the Mediterranean and the Black Sea, Rue Joseph II - 99 06/56, B-1049 Brussels, Belgium</w:t>
      </w:r>
    </w:p>
    <w:p>
      <w:pPr>
        <w:pStyle w:val="Normal"/>
        <w:widowControl w:val="false"/>
        <w:tabs>
          <w:tab w:val="left" w:pos="90" w:leader="none"/>
        </w:tabs>
        <w:jc w:val="both"/>
        <w:rPr>
          <w:sz w:val="23"/>
          <w:szCs w:val="23"/>
          <w:lang w:val="fr-FR"/>
        </w:rPr>
      </w:pPr>
      <w:r>
        <w:rPr>
          <w:sz w:val="18"/>
          <w:szCs w:val="18"/>
          <w:lang w:val="fr-FR"/>
        </w:rPr>
        <w:t>Tel: +32 2 2991 342, E-Mail: arnaud.peyronnet@ec.europa.eu</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3"/>
          <w:szCs w:val="23"/>
          <w:lang w:val="fr-FR"/>
        </w:rPr>
      </w:pPr>
      <w:r>
        <w:rPr>
          <w:b/>
          <w:bCs/>
          <w:sz w:val="18"/>
          <w:szCs w:val="18"/>
          <w:lang w:val="fr-FR"/>
        </w:rPr>
        <w:t xml:space="preserve">Ansell, </w:t>
      </w:r>
      <w:r>
        <w:rPr>
          <w:bCs/>
          <w:sz w:val="18"/>
          <w:szCs w:val="18"/>
          <w:lang w:val="fr-FR"/>
        </w:rPr>
        <w:t>Neil</w:t>
      </w:r>
    </w:p>
    <w:p>
      <w:pPr>
        <w:pStyle w:val="Normal"/>
        <w:widowControl w:val="false"/>
        <w:tabs>
          <w:tab w:val="left" w:pos="90" w:leader="none"/>
        </w:tabs>
        <w:jc w:val="both"/>
        <w:rPr>
          <w:sz w:val="23"/>
          <w:szCs w:val="23"/>
          <w:lang w:val="es-ES"/>
        </w:rPr>
      </w:pPr>
      <w:r>
        <w:rPr>
          <w:sz w:val="18"/>
          <w:szCs w:val="18"/>
          <w:lang w:val="es-ES"/>
        </w:rPr>
        <w:t>European Fisheries Control Agency, Avenida García Barbón 4, 36201 Vigo, Spain</w:t>
      </w:r>
    </w:p>
    <w:p>
      <w:pPr>
        <w:pStyle w:val="Normal"/>
        <w:widowControl w:val="false"/>
        <w:tabs>
          <w:tab w:val="left" w:pos="90" w:leader="none"/>
        </w:tabs>
        <w:jc w:val="both"/>
        <w:rPr>
          <w:sz w:val="23"/>
          <w:szCs w:val="23"/>
          <w:lang w:val="es-ES"/>
        </w:rPr>
      </w:pPr>
      <w:r>
        <w:rPr>
          <w:sz w:val="18"/>
          <w:szCs w:val="18"/>
          <w:lang w:val="es-ES"/>
        </w:rPr>
        <w:t>Tel: +34 986 120 658, Fax: E-Mail: neil.ansell@efca.europa.eu</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
          <w:b/>
          <w:bCs/>
          <w:sz w:val="23"/>
          <w:szCs w:val="23"/>
          <w:lang w:val="es-ES"/>
        </w:rPr>
      </w:pPr>
      <w:r>
        <w:rPr>
          <w:b/>
          <w:bCs/>
          <w:sz w:val="18"/>
          <w:szCs w:val="18"/>
          <w:lang w:val="es-ES"/>
        </w:rPr>
        <w:t xml:space="preserve">Arrizabalaga, </w:t>
      </w:r>
      <w:r>
        <w:rPr>
          <w:bCs/>
          <w:sz w:val="18"/>
          <w:szCs w:val="18"/>
          <w:lang w:val="es-ES"/>
        </w:rPr>
        <w:t>Haritz</w:t>
      </w:r>
    </w:p>
    <w:p>
      <w:pPr>
        <w:pStyle w:val="Normal"/>
        <w:widowControl w:val="false"/>
        <w:tabs>
          <w:tab w:val="left" w:pos="90" w:leader="none"/>
        </w:tabs>
        <w:jc w:val="both"/>
        <w:rPr>
          <w:sz w:val="23"/>
          <w:szCs w:val="23"/>
          <w:lang w:val="es-ES"/>
        </w:rPr>
      </w:pPr>
      <w:r>
        <w:rPr>
          <w:sz w:val="18"/>
          <w:szCs w:val="18"/>
          <w:lang w:val="es-ES"/>
        </w:rPr>
        <w:t>AZTI - Tecnalia /Itsas Ikerketa Saila, Herrera Kaia Portualde z/g, 20110 Pasaia Gipuzkoa, Spain</w:t>
      </w:r>
    </w:p>
    <w:p>
      <w:pPr>
        <w:pStyle w:val="Normal"/>
        <w:widowControl w:val="false"/>
        <w:tabs>
          <w:tab w:val="left" w:pos="90" w:leader="none"/>
        </w:tabs>
        <w:jc w:val="both"/>
        <w:rPr>
          <w:sz w:val="23"/>
          <w:szCs w:val="23"/>
          <w:lang w:val="es-ES"/>
        </w:rPr>
      </w:pPr>
      <w:r>
        <w:rPr>
          <w:sz w:val="18"/>
          <w:szCs w:val="18"/>
          <w:lang w:val="es-ES"/>
        </w:rPr>
        <w:t>Tel: +34 94 657 40 00, Fax: +34 94 300 48 01, E-Mail: harri@azti.es</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Cs/>
          <w:sz w:val="23"/>
          <w:szCs w:val="23"/>
          <w:lang w:val="es-ES"/>
        </w:rPr>
      </w:pPr>
      <w:r>
        <w:rPr>
          <w:b/>
          <w:bCs/>
          <w:sz w:val="18"/>
          <w:szCs w:val="18"/>
          <w:lang w:val="es-ES"/>
        </w:rPr>
        <w:t xml:space="preserve">Conte, </w:t>
      </w:r>
      <w:r>
        <w:rPr>
          <w:bCs/>
          <w:sz w:val="18"/>
          <w:szCs w:val="18"/>
          <w:lang w:val="es-ES"/>
        </w:rPr>
        <w:t>Fabio</w:t>
      </w:r>
    </w:p>
    <w:p>
      <w:pPr>
        <w:pStyle w:val="Normal"/>
        <w:widowControl w:val="false"/>
        <w:tabs>
          <w:tab w:val="left" w:pos="90" w:leader="none"/>
        </w:tabs>
        <w:jc w:val="both"/>
        <w:rPr>
          <w:sz w:val="20"/>
          <w:szCs w:val="20"/>
          <w:lang w:val="es-ES"/>
        </w:rPr>
      </w:pPr>
      <w:r>
        <w:rPr>
          <w:sz w:val="18"/>
          <w:szCs w:val="18"/>
          <w:lang w:val="es-ES"/>
        </w:rPr>
        <w:t>Dipartimento delle Politiche Europee e Internazionali, Ministero delle Politiche Agricole, Alimentari e Forestali, Direzione Generale della Pesca Marittima e dell'Acquacoltura - PEMAC VI, Viale dell'Arte 16, 00144 Rome, Italy</w:t>
      </w:r>
    </w:p>
    <w:p>
      <w:pPr>
        <w:pStyle w:val="Normal"/>
        <w:widowControl w:val="false"/>
        <w:tabs>
          <w:tab w:val="left" w:pos="90" w:leader="none"/>
        </w:tabs>
        <w:jc w:val="both"/>
        <w:rPr>
          <w:sz w:val="23"/>
          <w:szCs w:val="23"/>
          <w:lang w:val="es-ES"/>
        </w:rPr>
      </w:pPr>
      <w:r>
        <w:rPr>
          <w:sz w:val="18"/>
          <w:szCs w:val="18"/>
          <w:lang w:val="es-ES"/>
        </w:rPr>
        <w:t>Tel: +39 06 4665 2838, Fax: +39 06 4665 2899, E-Mail: f.conte@politicheagricole.it</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
          <w:b/>
          <w:bCs/>
          <w:sz w:val="23"/>
          <w:szCs w:val="23"/>
          <w:lang w:val="es-ES"/>
        </w:rPr>
      </w:pPr>
      <w:r>
        <w:rPr>
          <w:b/>
          <w:bCs/>
          <w:sz w:val="18"/>
          <w:szCs w:val="18"/>
          <w:lang w:val="es-ES"/>
        </w:rPr>
        <w:t xml:space="preserve">Fenech Farrugia, </w:t>
      </w:r>
      <w:r>
        <w:rPr>
          <w:bCs/>
          <w:sz w:val="18"/>
          <w:szCs w:val="18"/>
          <w:lang w:val="es-ES"/>
        </w:rPr>
        <w:t>Andreina</w:t>
      </w:r>
    </w:p>
    <w:p>
      <w:pPr>
        <w:pStyle w:val="Normal"/>
        <w:widowControl w:val="false"/>
        <w:tabs>
          <w:tab w:val="left" w:pos="90" w:leader="none"/>
        </w:tabs>
        <w:jc w:val="both"/>
        <w:rPr>
          <w:sz w:val="23"/>
          <w:szCs w:val="23"/>
        </w:rPr>
      </w:pPr>
      <w:r>
        <w:rPr>
          <w:sz w:val="18"/>
          <w:szCs w:val="18"/>
        </w:rPr>
        <w:t>Director General, Department of Fisheries and Aquaculture, Government Farm, Ghammieri, MRS1123 Marsa, Malta</w:t>
      </w:r>
    </w:p>
    <w:p>
      <w:pPr>
        <w:pStyle w:val="Normal"/>
        <w:widowControl w:val="false"/>
        <w:tabs>
          <w:tab w:val="left" w:pos="90" w:leader="none"/>
        </w:tabs>
        <w:jc w:val="both"/>
        <w:rPr>
          <w:sz w:val="23"/>
          <w:szCs w:val="23"/>
          <w:lang w:val="fr-FR"/>
        </w:rPr>
      </w:pPr>
      <w:r>
        <w:rPr>
          <w:sz w:val="18"/>
          <w:szCs w:val="18"/>
          <w:lang w:val="fr-FR"/>
        </w:rPr>
        <w:t>Tel: +356 22031 248, Fax: +356 220 31246, E-Mail: andreina.fenech-farrugia@gov.mt</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3"/>
          <w:szCs w:val="23"/>
          <w:lang w:val="fr-FR"/>
        </w:rPr>
      </w:pPr>
      <w:r>
        <w:rPr>
          <w:b/>
          <w:bCs/>
          <w:sz w:val="18"/>
          <w:szCs w:val="18"/>
          <w:lang w:val="fr-FR"/>
        </w:rPr>
        <w:t xml:space="preserve">Magnolo, </w:t>
      </w:r>
      <w:r>
        <w:rPr>
          <w:bCs/>
          <w:sz w:val="18"/>
          <w:szCs w:val="18"/>
          <w:lang w:val="fr-FR"/>
        </w:rPr>
        <w:t>Lorenzo Giovanni</w:t>
      </w:r>
    </w:p>
    <w:p>
      <w:pPr>
        <w:pStyle w:val="Normal"/>
        <w:widowControl w:val="false"/>
        <w:tabs>
          <w:tab w:val="left" w:pos="90" w:leader="none"/>
        </w:tabs>
        <w:jc w:val="both"/>
        <w:rPr>
          <w:sz w:val="20"/>
          <w:szCs w:val="20"/>
          <w:lang w:val="es-ES"/>
        </w:rPr>
      </w:pPr>
      <w:r>
        <w:rPr>
          <w:sz w:val="18"/>
          <w:szCs w:val="18"/>
          <w:lang w:val="es-ES"/>
        </w:rPr>
        <w:t>Ministero Politiche Agricole Alimentari e Forestali, Direzione Generale della pesca Marittima e dell'Acquacoltura, Viale dell'Arte, 16, 0144 Roma, Italy</w:t>
      </w:r>
    </w:p>
    <w:p>
      <w:pPr>
        <w:pStyle w:val="Normal"/>
        <w:widowControl w:val="false"/>
        <w:tabs>
          <w:tab w:val="left" w:pos="90" w:leader="none"/>
        </w:tabs>
        <w:jc w:val="both"/>
        <w:rPr>
          <w:sz w:val="23"/>
          <w:szCs w:val="23"/>
          <w:lang w:val="es-ES"/>
        </w:rPr>
      </w:pPr>
      <w:r>
        <w:rPr>
          <w:sz w:val="18"/>
          <w:szCs w:val="18"/>
          <w:lang w:val="es-ES"/>
        </w:rPr>
        <w:t>Tel: +39 06 590 84446, Fax: +39 06 466 52899, E-Mail: lorenzo.magnolo@mit.gov.it</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Cs/>
          <w:sz w:val="23"/>
          <w:szCs w:val="23"/>
          <w:lang w:val="es-ES"/>
        </w:rPr>
      </w:pPr>
      <w:r>
        <w:rPr>
          <w:b/>
          <w:bCs/>
          <w:sz w:val="18"/>
          <w:szCs w:val="18"/>
          <w:lang w:val="es-ES"/>
        </w:rPr>
        <w:t xml:space="preserve">Merino, </w:t>
      </w:r>
      <w:r>
        <w:rPr>
          <w:bCs/>
          <w:sz w:val="18"/>
          <w:szCs w:val="18"/>
          <w:lang w:val="es-ES"/>
        </w:rPr>
        <w:t>Gorka</w:t>
      </w:r>
    </w:p>
    <w:p>
      <w:pPr>
        <w:pStyle w:val="Normal"/>
        <w:widowControl w:val="false"/>
        <w:tabs>
          <w:tab w:val="left" w:pos="90" w:leader="none"/>
        </w:tabs>
        <w:jc w:val="both"/>
        <w:rPr>
          <w:sz w:val="23"/>
          <w:szCs w:val="23"/>
          <w:lang w:val="es-ES"/>
        </w:rPr>
      </w:pPr>
      <w:r>
        <w:rPr>
          <w:sz w:val="18"/>
          <w:szCs w:val="18"/>
          <w:lang w:val="es-ES"/>
        </w:rPr>
        <w:t>AZTI - Tecnalia /Itsas Ikerketa Saila, Herrera Kaia Portualde z/g, 20110 Pasaia - Gipuzkoa, Spain</w:t>
      </w:r>
    </w:p>
    <w:p>
      <w:pPr>
        <w:pStyle w:val="Normal"/>
        <w:widowControl w:val="false"/>
        <w:tabs>
          <w:tab w:val="left" w:pos="90" w:leader="none"/>
        </w:tabs>
        <w:jc w:val="both"/>
        <w:rPr>
          <w:sz w:val="23"/>
          <w:szCs w:val="23"/>
        </w:rPr>
      </w:pPr>
      <w:r>
        <w:rPr>
          <w:sz w:val="18"/>
          <w:szCs w:val="18"/>
        </w:rPr>
        <w:t>Tel: +34 94 657 4000; +34 664 793 401, Fax: +34 94 300 4801, E-Mail: gmerino@azti.es</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Roche, </w:t>
      </w:r>
      <w:r>
        <w:rPr>
          <w:bCs/>
          <w:sz w:val="18"/>
          <w:szCs w:val="18"/>
        </w:rPr>
        <w:t>Thomas</w:t>
      </w:r>
    </w:p>
    <w:p>
      <w:pPr>
        <w:pStyle w:val="Normal"/>
        <w:widowControl w:val="false"/>
        <w:tabs>
          <w:tab w:val="left" w:pos="90" w:leader="none"/>
        </w:tabs>
        <w:jc w:val="both"/>
        <w:rPr>
          <w:sz w:val="18"/>
          <w:szCs w:val="18"/>
          <w:lang w:val="fr-FR"/>
        </w:rPr>
      </w:pPr>
      <w:r>
        <w:rPr>
          <w:sz w:val="18"/>
          <w:szCs w:val="18"/>
          <w:lang w:val="fr-FR"/>
        </w:rPr>
        <w:t>Ministère de l'Écologie, du Développement durable et de l'Energie, Direction des pêches maritimes et de l'aquaculture - Bureau des affaires européennes et internationales, 1 Place des Degrés, 92501 Cedex, La Défense, France</w:t>
      </w:r>
    </w:p>
    <w:p>
      <w:pPr>
        <w:pStyle w:val="Normal"/>
        <w:widowControl w:val="false"/>
        <w:tabs>
          <w:tab w:val="left" w:pos="90" w:leader="none"/>
        </w:tabs>
        <w:jc w:val="both"/>
        <w:rPr>
          <w:sz w:val="23"/>
          <w:szCs w:val="23"/>
        </w:rPr>
      </w:pPr>
      <w:r>
        <w:rPr>
          <w:sz w:val="18"/>
          <w:szCs w:val="18"/>
        </w:rPr>
        <w:t xml:space="preserve">Tel: +33 1 40 81 97 51, Fax: +33 1 40 81 86 56, E-Mail: thomas.roche@developpement-durable.gouv.fr;  </w:t>
      </w:r>
    </w:p>
    <w:p>
      <w:pPr>
        <w:pStyle w:val="Normal"/>
        <w:widowControl w:val="false"/>
        <w:tabs>
          <w:tab w:val="left" w:pos="90" w:leader="none"/>
        </w:tabs>
        <w:jc w:val="both"/>
        <w:rPr>
          <w:sz w:val="20"/>
          <w:szCs w:val="20"/>
        </w:rPr>
      </w:pPr>
      <w:r>
        <w:rPr>
          <w:sz w:val="18"/>
          <w:szCs w:val="18"/>
        </w:rPr>
        <w:t>baei.sdrh.dpma@developpement-durable.gouv.fr</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Cs/>
          <w:sz w:val="23"/>
          <w:szCs w:val="23"/>
        </w:rPr>
      </w:pPr>
      <w:r>
        <w:rPr>
          <w:b/>
          <w:bCs/>
          <w:sz w:val="18"/>
          <w:szCs w:val="18"/>
        </w:rPr>
        <w:t xml:space="preserve">Seguna, </w:t>
      </w:r>
      <w:r>
        <w:rPr>
          <w:bCs/>
          <w:sz w:val="18"/>
          <w:szCs w:val="18"/>
        </w:rPr>
        <w:t>Marvin</w:t>
      </w:r>
    </w:p>
    <w:p>
      <w:pPr>
        <w:pStyle w:val="Normal"/>
        <w:widowControl w:val="false"/>
        <w:tabs>
          <w:tab w:val="left" w:pos="90" w:leader="none"/>
        </w:tabs>
        <w:jc w:val="both"/>
        <w:rPr>
          <w:sz w:val="20"/>
          <w:szCs w:val="20"/>
        </w:rPr>
      </w:pPr>
      <w:r>
        <w:rPr>
          <w:sz w:val="18"/>
          <w:szCs w:val="18"/>
        </w:rPr>
        <w:t>Fisheries Control Directorate, Department of Fisheries and Aquaculture, Government Farm Ghammieri Barriera Wharf, VLT 1971 Marsa, Malta</w:t>
      </w:r>
    </w:p>
    <w:p>
      <w:pPr>
        <w:pStyle w:val="Normal"/>
        <w:widowControl w:val="false"/>
        <w:tabs>
          <w:tab w:val="left" w:pos="90" w:leader="none"/>
        </w:tabs>
        <w:jc w:val="both"/>
        <w:rPr>
          <w:sz w:val="23"/>
          <w:szCs w:val="23"/>
          <w:lang w:val="es-ES"/>
        </w:rPr>
      </w:pPr>
      <w:r>
        <w:rPr>
          <w:sz w:val="18"/>
          <w:szCs w:val="18"/>
          <w:lang w:val="es-ES"/>
        </w:rPr>
        <w:t>Tel: +356 2292 6918, E-Mail: marvin.seguna@gov.mt</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
          <w:b/>
          <w:bCs/>
          <w:sz w:val="23"/>
          <w:szCs w:val="23"/>
          <w:lang w:val="es-ES"/>
        </w:rPr>
      </w:pPr>
      <w:r>
        <w:rPr>
          <w:b/>
          <w:bCs/>
          <w:sz w:val="18"/>
          <w:szCs w:val="18"/>
          <w:lang w:val="es-ES"/>
        </w:rPr>
        <w:t xml:space="preserve">Toro Nieto, </w:t>
      </w:r>
      <w:r>
        <w:rPr>
          <w:bCs/>
          <w:sz w:val="18"/>
          <w:szCs w:val="18"/>
          <w:lang w:val="es-ES"/>
        </w:rPr>
        <w:t>Javier</w:t>
      </w:r>
    </w:p>
    <w:p>
      <w:pPr>
        <w:pStyle w:val="Normal"/>
        <w:widowControl w:val="false"/>
        <w:tabs>
          <w:tab w:val="left" w:pos="90" w:leader="none"/>
        </w:tabs>
        <w:jc w:val="both"/>
        <w:rPr>
          <w:sz w:val="23"/>
          <w:szCs w:val="23"/>
          <w:lang w:val="es-ES"/>
        </w:rPr>
      </w:pPr>
      <w:r>
        <w:rPr>
          <w:sz w:val="18"/>
          <w:szCs w:val="18"/>
          <w:lang w:val="es-ES"/>
        </w:rPr>
        <w:t xml:space="preserve">Secretaría General de Pesca, Subdirección General de Control e Inspección, C/ Velázquez 147, 28006 Madrid, Spain </w:t>
      </w:r>
    </w:p>
    <w:p>
      <w:pPr>
        <w:pStyle w:val="Normal"/>
        <w:widowControl w:val="false"/>
        <w:tabs>
          <w:tab w:val="left" w:pos="90" w:leader="none"/>
        </w:tabs>
        <w:jc w:val="both"/>
        <w:rPr>
          <w:sz w:val="23"/>
          <w:szCs w:val="23"/>
        </w:rPr>
      </w:pPr>
      <w:r>
        <w:rPr>
          <w:sz w:val="18"/>
          <w:szCs w:val="18"/>
        </w:rPr>
        <w:t>Tel: +34 913476183, Fax: +34 913471512, E-Mail: jtoronie@magrama.es</w:t>
      </w:r>
    </w:p>
    <w:p>
      <w:pPr>
        <w:pStyle w:val="Normal"/>
        <w:widowControl w:val="false"/>
        <w:tabs>
          <w:tab w:val="left" w:pos="90" w:leader="none"/>
        </w:tabs>
        <w:jc w:val="both"/>
        <w:rPr>
          <w:b/>
          <w:b/>
          <w:bCs/>
          <w:sz w:val="20"/>
          <w:szCs w:val="20"/>
        </w:rPr>
      </w:pPr>
      <w:r>
        <w:rPr>
          <w:b/>
          <w:bCs/>
          <w:sz w:val="20"/>
          <w:szCs w:val="20"/>
        </w:rPr>
      </w:r>
    </w:p>
    <w:p>
      <w:pPr>
        <w:pStyle w:val="Normal"/>
        <w:widowControl w:val="false"/>
        <w:tabs>
          <w:tab w:val="left" w:pos="90" w:leader="none"/>
        </w:tabs>
        <w:jc w:val="both"/>
        <w:rPr>
          <w:b/>
          <w:b/>
          <w:bCs/>
          <w:sz w:val="25"/>
          <w:szCs w:val="25"/>
        </w:rPr>
      </w:pPr>
      <w:r>
        <w:rPr>
          <w:b/>
          <w:bCs/>
          <w:sz w:val="20"/>
          <w:szCs w:val="20"/>
        </w:rPr>
        <w:t>GABON</w:t>
      </w:r>
    </w:p>
    <w:p>
      <w:pPr>
        <w:pStyle w:val="Normal"/>
        <w:widowControl w:val="false"/>
        <w:tabs>
          <w:tab w:val="left" w:pos="90" w:leader="none"/>
        </w:tabs>
        <w:jc w:val="both"/>
        <w:rPr>
          <w:b/>
          <w:b/>
          <w:bCs/>
          <w:sz w:val="23"/>
          <w:szCs w:val="23"/>
        </w:rPr>
      </w:pPr>
      <w:r>
        <w:rPr>
          <w:b/>
          <w:bCs/>
          <w:sz w:val="18"/>
          <w:szCs w:val="18"/>
        </w:rPr>
        <w:t xml:space="preserve">Ntsame Biyoghe, </w:t>
      </w:r>
      <w:r>
        <w:rPr>
          <w:bCs/>
          <w:sz w:val="18"/>
          <w:szCs w:val="18"/>
        </w:rPr>
        <w:t>Glwadys Annick *</w:t>
      </w:r>
    </w:p>
    <w:p>
      <w:pPr>
        <w:pStyle w:val="Normal"/>
        <w:widowControl w:val="false"/>
        <w:tabs>
          <w:tab w:val="left" w:pos="90" w:leader="none"/>
        </w:tabs>
        <w:jc w:val="both"/>
        <w:rPr>
          <w:sz w:val="23"/>
          <w:szCs w:val="23"/>
          <w:lang w:val="fr-FR"/>
        </w:rPr>
      </w:pPr>
      <w:r>
        <w:rPr>
          <w:sz w:val="18"/>
          <w:szCs w:val="18"/>
          <w:lang w:val="fr-FR"/>
        </w:rPr>
        <w:t>Directeur Général Adjoint 2 des Pêches et de l'Aquaculture, BP 9498, Libreville</w:t>
      </w:r>
    </w:p>
    <w:p>
      <w:pPr>
        <w:pStyle w:val="Normal"/>
        <w:widowControl w:val="false"/>
        <w:tabs>
          <w:tab w:val="left" w:pos="90" w:leader="none"/>
        </w:tabs>
        <w:jc w:val="both"/>
        <w:rPr>
          <w:sz w:val="23"/>
          <w:szCs w:val="23"/>
          <w:lang w:val="fr-FR"/>
        </w:rPr>
      </w:pPr>
      <w:r>
        <w:rPr>
          <w:sz w:val="18"/>
          <w:szCs w:val="18"/>
          <w:lang w:val="fr-FR"/>
        </w:rPr>
        <w:t>Tel: +241 0794 2259, E-Mail: glwad6@yahoo.fr;dgpechegabon@netcourrier.com</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GUINEA REP.</w:t>
      </w:r>
    </w:p>
    <w:p>
      <w:pPr>
        <w:pStyle w:val="Normal"/>
        <w:widowControl w:val="false"/>
        <w:tabs>
          <w:tab w:val="left" w:pos="90" w:leader="none"/>
        </w:tabs>
        <w:jc w:val="both"/>
        <w:rPr>
          <w:b/>
          <w:b/>
          <w:bCs/>
          <w:sz w:val="23"/>
          <w:szCs w:val="23"/>
          <w:lang w:val="fr-FR"/>
        </w:rPr>
      </w:pPr>
      <w:r>
        <w:rPr>
          <w:b/>
          <w:bCs/>
          <w:sz w:val="18"/>
          <w:szCs w:val="18"/>
          <w:lang w:val="fr-FR"/>
        </w:rPr>
        <w:t xml:space="preserve">Tall, </w:t>
      </w:r>
      <w:r>
        <w:rPr>
          <w:bCs/>
          <w:sz w:val="18"/>
          <w:szCs w:val="18"/>
          <w:lang w:val="fr-FR"/>
        </w:rPr>
        <w:t>Hassimiou *</w:t>
      </w:r>
    </w:p>
    <w:p>
      <w:pPr>
        <w:pStyle w:val="Normal"/>
        <w:widowControl w:val="false"/>
        <w:tabs>
          <w:tab w:val="left" w:pos="90" w:leader="none"/>
        </w:tabs>
        <w:jc w:val="both"/>
        <w:rPr>
          <w:sz w:val="20"/>
          <w:szCs w:val="20"/>
          <w:lang w:val="fr-FR"/>
        </w:rPr>
      </w:pPr>
      <w:r>
        <w:rPr>
          <w:sz w:val="18"/>
          <w:szCs w:val="18"/>
          <w:lang w:val="fr-FR"/>
        </w:rPr>
        <w:t>Directeur National de la Pêche Maritime, Ministère de la Pêche et de l'Aquaculture, Av. De la République - Commune de Kaloum; BP 307, Conakry</w:t>
      </w:r>
    </w:p>
    <w:p>
      <w:pPr>
        <w:pStyle w:val="Normal"/>
        <w:widowControl w:val="false"/>
        <w:tabs>
          <w:tab w:val="left" w:pos="90" w:leader="none"/>
        </w:tabs>
        <w:jc w:val="both"/>
        <w:rPr>
          <w:sz w:val="23"/>
          <w:szCs w:val="23"/>
          <w:lang w:val="fr-FR"/>
        </w:rPr>
      </w:pPr>
      <w:r>
        <w:rPr>
          <w:sz w:val="18"/>
          <w:szCs w:val="18"/>
          <w:lang w:val="fr-FR"/>
        </w:rPr>
        <w:t>Tel: 00 224 622 09 58 93, Fax: +224 3045 1926, E-Mail: tallhassimiou@yahoo.fr</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es-ES"/>
        </w:rPr>
      </w:pPr>
      <w:r>
        <w:rPr>
          <w:b/>
          <w:bCs/>
          <w:sz w:val="20"/>
          <w:szCs w:val="20"/>
          <w:lang w:val="es-ES"/>
        </w:rPr>
        <w:t>JAPAN</w:t>
      </w:r>
    </w:p>
    <w:p>
      <w:pPr>
        <w:pStyle w:val="Normal"/>
        <w:widowControl w:val="false"/>
        <w:tabs>
          <w:tab w:val="left" w:pos="90" w:leader="none"/>
        </w:tabs>
        <w:jc w:val="both"/>
        <w:rPr>
          <w:b/>
          <w:b/>
          <w:bCs/>
          <w:sz w:val="23"/>
          <w:szCs w:val="23"/>
          <w:lang w:val="es-ES"/>
        </w:rPr>
      </w:pPr>
      <w:r>
        <w:rPr>
          <w:b/>
          <w:bCs/>
          <w:sz w:val="18"/>
          <w:szCs w:val="18"/>
          <w:lang w:val="es-ES"/>
        </w:rPr>
        <w:t xml:space="preserve">Ota, </w:t>
      </w:r>
      <w:r>
        <w:rPr>
          <w:bCs/>
          <w:sz w:val="18"/>
          <w:szCs w:val="18"/>
          <w:lang w:val="es-ES"/>
        </w:rPr>
        <w:t>Shingo *</w:t>
      </w:r>
    </w:p>
    <w:p>
      <w:pPr>
        <w:pStyle w:val="Normal"/>
        <w:widowControl w:val="false"/>
        <w:tabs>
          <w:tab w:val="left" w:pos="90" w:leader="none"/>
        </w:tabs>
        <w:jc w:val="both"/>
        <w:rPr>
          <w:sz w:val="20"/>
          <w:szCs w:val="20"/>
        </w:rPr>
      </w:pPr>
      <w:r>
        <w:rPr>
          <w:sz w:val="18"/>
          <w:szCs w:val="18"/>
        </w:rPr>
        <w:t>Councillor, Resources Management Department, Fisheries Agency, Ministry of Agriculture, Forestry and Fisheries, 1-2-1 Kasumigaseki, Chiyoda-Ku, Tokyo 100-8907</w:t>
      </w:r>
    </w:p>
    <w:p>
      <w:pPr>
        <w:pStyle w:val="Normal"/>
        <w:widowControl w:val="false"/>
        <w:tabs>
          <w:tab w:val="left" w:pos="90" w:leader="none"/>
        </w:tabs>
        <w:jc w:val="both"/>
        <w:rPr>
          <w:sz w:val="23"/>
          <w:szCs w:val="23"/>
        </w:rPr>
      </w:pPr>
      <w:r>
        <w:rPr>
          <w:sz w:val="18"/>
          <w:szCs w:val="18"/>
        </w:rPr>
        <w:t>Tel: +81 3 3502 8486, Fax: +81 3 3502 1682, E-Mail: shingo_ota810@maff.go.jp</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Cs/>
          <w:sz w:val="23"/>
          <w:szCs w:val="23"/>
        </w:rPr>
      </w:pPr>
      <w:r>
        <w:rPr>
          <w:b/>
          <w:bCs/>
          <w:sz w:val="18"/>
          <w:szCs w:val="18"/>
        </w:rPr>
        <w:t xml:space="preserve">Akiyama, </w:t>
      </w:r>
      <w:r>
        <w:rPr>
          <w:bCs/>
          <w:sz w:val="18"/>
          <w:szCs w:val="18"/>
        </w:rPr>
        <w:t>Masahiro</w:t>
      </w:r>
    </w:p>
    <w:p>
      <w:pPr>
        <w:pStyle w:val="Normal"/>
        <w:widowControl w:val="false"/>
        <w:tabs>
          <w:tab w:val="left" w:pos="90" w:leader="none"/>
        </w:tabs>
        <w:jc w:val="both"/>
        <w:rPr>
          <w:sz w:val="20"/>
          <w:szCs w:val="20"/>
        </w:rPr>
      </w:pPr>
      <w:r>
        <w:rPr>
          <w:sz w:val="18"/>
          <w:szCs w:val="18"/>
        </w:rPr>
        <w:t>Officer, International Affairs Division, Fisheries Agency of Japan, Ministry of Agriculture, Forestry and Fisheries, 1-2-1 Kasumigaseki, Chiyoda-Ku,, Tokyo 100-8907</w:t>
      </w:r>
    </w:p>
    <w:p>
      <w:pPr>
        <w:pStyle w:val="Normal"/>
        <w:widowControl w:val="false"/>
        <w:tabs>
          <w:tab w:val="left" w:pos="90" w:leader="none"/>
        </w:tabs>
        <w:jc w:val="both"/>
        <w:rPr>
          <w:sz w:val="23"/>
          <w:szCs w:val="23"/>
        </w:rPr>
      </w:pPr>
      <w:r>
        <w:rPr>
          <w:sz w:val="18"/>
          <w:szCs w:val="18"/>
        </w:rPr>
        <w:t>Tel: +81 3 3502 8460, Fax: +81 3 3504 2649, E-Mail: masahiro_akiyama170@maff.go.jp</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Cs/>
          <w:sz w:val="23"/>
          <w:szCs w:val="23"/>
        </w:rPr>
      </w:pPr>
      <w:r>
        <w:rPr>
          <w:b/>
          <w:bCs/>
          <w:sz w:val="18"/>
          <w:szCs w:val="18"/>
        </w:rPr>
        <w:t xml:space="preserve">Hijikata, </w:t>
      </w:r>
      <w:r>
        <w:rPr>
          <w:bCs/>
          <w:sz w:val="18"/>
          <w:szCs w:val="18"/>
        </w:rPr>
        <w:t>Noriyoshi</w:t>
      </w:r>
    </w:p>
    <w:p>
      <w:pPr>
        <w:pStyle w:val="Normal"/>
        <w:widowControl w:val="false"/>
        <w:tabs>
          <w:tab w:val="left" w:pos="90" w:leader="none"/>
        </w:tabs>
        <w:jc w:val="both"/>
        <w:rPr>
          <w:sz w:val="20"/>
          <w:szCs w:val="20"/>
        </w:rPr>
      </w:pPr>
      <w:r>
        <w:rPr>
          <w:sz w:val="18"/>
          <w:szCs w:val="18"/>
        </w:rPr>
        <w:t>Technical Officer, Fisheries management Division, Fisheries Agency, Ministry of Agriculture, Forestry and Fisheries, 1-2-1 Kasumigaseki, Chiyoda-Ku, 100-8907</w:t>
      </w:r>
    </w:p>
    <w:p>
      <w:pPr>
        <w:pStyle w:val="Normal"/>
        <w:widowControl w:val="false"/>
        <w:tabs>
          <w:tab w:val="left" w:pos="90" w:leader="none"/>
        </w:tabs>
        <w:jc w:val="both"/>
        <w:rPr>
          <w:sz w:val="23"/>
          <w:szCs w:val="23"/>
        </w:rPr>
      </w:pPr>
      <w:r>
        <w:rPr>
          <w:sz w:val="18"/>
          <w:szCs w:val="18"/>
        </w:rPr>
        <w:t>Tel: +81 3 3502 8204, Fax: +81 3 3591 5824, E-Mail: noriyoshi_hijikat300@maff.go.jp</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Kawai, </w:t>
      </w:r>
      <w:r>
        <w:rPr>
          <w:bCs/>
          <w:sz w:val="18"/>
          <w:szCs w:val="18"/>
        </w:rPr>
        <w:t>Noriko</w:t>
      </w:r>
    </w:p>
    <w:p>
      <w:pPr>
        <w:pStyle w:val="Normal"/>
        <w:widowControl w:val="false"/>
        <w:tabs>
          <w:tab w:val="left" w:pos="90" w:leader="none"/>
        </w:tabs>
        <w:jc w:val="both"/>
        <w:rPr>
          <w:sz w:val="20"/>
          <w:szCs w:val="20"/>
        </w:rPr>
      </w:pPr>
      <w:r>
        <w:rPr>
          <w:sz w:val="18"/>
          <w:szCs w:val="18"/>
        </w:rPr>
        <w:t>Officer, International Affairs Division, Fisheries Agency of Japan, Ministry of Agriculture, Forestry and Fisheries, 1-2-1 Kasumigaseki, Chiyoda-Ku, Tokyo 100-8907</w:t>
      </w:r>
    </w:p>
    <w:p>
      <w:pPr>
        <w:pStyle w:val="Normal"/>
        <w:widowControl w:val="false"/>
        <w:tabs>
          <w:tab w:val="left" w:pos="90" w:leader="none"/>
        </w:tabs>
        <w:jc w:val="both"/>
        <w:rPr>
          <w:sz w:val="23"/>
          <w:szCs w:val="23"/>
        </w:rPr>
      </w:pPr>
      <w:r>
        <w:rPr>
          <w:sz w:val="18"/>
          <w:szCs w:val="18"/>
        </w:rPr>
        <w:t>Tel: +81 3 3502 8460, Fax: +81 3 3504 2649, E-Mail: noriko_kawai770@maff.go.jp</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Miyahara, </w:t>
      </w:r>
      <w:r>
        <w:rPr>
          <w:bCs/>
          <w:sz w:val="18"/>
          <w:szCs w:val="18"/>
        </w:rPr>
        <w:t>Masanori</w:t>
      </w:r>
    </w:p>
    <w:p>
      <w:pPr>
        <w:pStyle w:val="Normal"/>
        <w:widowControl w:val="false"/>
        <w:tabs>
          <w:tab w:val="left" w:pos="90" w:leader="none"/>
        </w:tabs>
        <w:jc w:val="both"/>
        <w:rPr>
          <w:sz w:val="18"/>
          <w:szCs w:val="18"/>
        </w:rPr>
      </w:pPr>
      <w:r>
        <w:rPr>
          <w:sz w:val="18"/>
          <w:szCs w:val="18"/>
        </w:rPr>
        <w:t xml:space="preserve">Adviser to the Minister of Agriculture, Forestry and Fisheries, 1-2-1, Kasumigaseki, Tokyo Chiyoda-ku 100-8907 </w:t>
      </w:r>
    </w:p>
    <w:p>
      <w:pPr>
        <w:pStyle w:val="Normal"/>
        <w:widowControl w:val="false"/>
        <w:tabs>
          <w:tab w:val="left" w:pos="90" w:leader="none"/>
        </w:tabs>
        <w:jc w:val="both"/>
        <w:rPr>
          <w:sz w:val="23"/>
          <w:szCs w:val="23"/>
        </w:rPr>
      </w:pPr>
      <w:r>
        <w:rPr>
          <w:sz w:val="18"/>
          <w:szCs w:val="18"/>
        </w:rPr>
        <w:t>Tel: +81 3 3502 8460, Fax: +81 3 3504 2649, E-Mail: masamiya@fra.affrc.go.jp</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Tominaga, </w:t>
      </w:r>
      <w:r>
        <w:rPr>
          <w:bCs/>
          <w:sz w:val="18"/>
          <w:szCs w:val="18"/>
        </w:rPr>
        <w:t>Haruo</w:t>
      </w:r>
    </w:p>
    <w:p>
      <w:pPr>
        <w:pStyle w:val="Normal"/>
        <w:widowControl w:val="false"/>
        <w:tabs>
          <w:tab w:val="left" w:pos="90" w:leader="none"/>
        </w:tabs>
        <w:jc w:val="both"/>
        <w:rPr>
          <w:sz w:val="20"/>
          <w:szCs w:val="20"/>
        </w:rPr>
      </w:pPr>
      <w:r>
        <w:rPr>
          <w:sz w:val="18"/>
          <w:szCs w:val="18"/>
        </w:rPr>
        <w:t>Assistant Director, International Affairs Division, Fisheries Agency, Ministry of Agriculture, Forestry and Fisheries, 1-2-1 Kasumigaseki, Chiyoda-ku, Tokyo 100-8907</w:t>
      </w:r>
    </w:p>
    <w:p>
      <w:pPr>
        <w:pStyle w:val="Normal"/>
        <w:widowControl w:val="false"/>
        <w:tabs>
          <w:tab w:val="left" w:pos="90" w:leader="none"/>
        </w:tabs>
        <w:jc w:val="both"/>
        <w:rPr>
          <w:sz w:val="23"/>
          <w:szCs w:val="23"/>
          <w:lang w:val="es-ES"/>
        </w:rPr>
      </w:pPr>
      <w:r>
        <w:rPr>
          <w:sz w:val="18"/>
          <w:szCs w:val="18"/>
          <w:lang w:val="es-ES"/>
        </w:rPr>
        <w:t>Tel: +81 3 3502 8460, Fax: +81 3 3504 2649, E-Mail: haruo_tominaga170@maff.go.jp</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
          <w:b/>
          <w:bCs/>
          <w:sz w:val="23"/>
          <w:szCs w:val="23"/>
          <w:lang w:val="es-ES"/>
        </w:rPr>
      </w:pPr>
      <w:r>
        <w:rPr>
          <w:b/>
          <w:bCs/>
          <w:sz w:val="18"/>
          <w:szCs w:val="18"/>
          <w:lang w:val="es-ES"/>
        </w:rPr>
        <w:t xml:space="preserve">Yokawa, </w:t>
      </w:r>
      <w:r>
        <w:rPr>
          <w:bCs/>
          <w:sz w:val="18"/>
          <w:szCs w:val="18"/>
          <w:lang w:val="es-ES"/>
        </w:rPr>
        <w:t>Kotaro</w:t>
      </w:r>
    </w:p>
    <w:p>
      <w:pPr>
        <w:pStyle w:val="Normal"/>
        <w:widowControl w:val="false"/>
        <w:tabs>
          <w:tab w:val="left" w:pos="90" w:leader="none"/>
        </w:tabs>
        <w:jc w:val="both"/>
        <w:rPr>
          <w:sz w:val="20"/>
          <w:szCs w:val="20"/>
        </w:rPr>
      </w:pPr>
      <w:r>
        <w:rPr>
          <w:sz w:val="18"/>
          <w:szCs w:val="18"/>
        </w:rPr>
        <w:t>Research Coordinator, National Research Institute of Far Seas Fisheries, Fisheries Research Agency, 5-7-1 Orido, Shimizu-ku, Shizuoka 424-8633</w:t>
      </w:r>
    </w:p>
    <w:p>
      <w:pPr>
        <w:pStyle w:val="Normal"/>
        <w:widowControl w:val="false"/>
        <w:tabs>
          <w:tab w:val="left" w:pos="90" w:leader="none"/>
        </w:tabs>
        <w:jc w:val="both"/>
        <w:rPr>
          <w:sz w:val="23"/>
          <w:szCs w:val="23"/>
          <w:lang w:val="fr-FR"/>
        </w:rPr>
      </w:pPr>
      <w:r>
        <w:rPr>
          <w:sz w:val="18"/>
          <w:szCs w:val="18"/>
          <w:lang w:val="fr-FR"/>
        </w:rPr>
        <w:t>Tel: + 81 54 336 5834, Fax: +81 543 359642, E-Mail: yokawa@affrc.go.jp</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rPr>
      </w:pPr>
      <w:r>
        <w:rPr>
          <w:b/>
          <w:bCs/>
          <w:sz w:val="20"/>
          <w:szCs w:val="20"/>
          <w:lang w:val="fr-FR"/>
        </w:rPr>
        <w:t>KOREA REP.</w:t>
      </w:r>
    </w:p>
    <w:p>
      <w:pPr>
        <w:pStyle w:val="Normal"/>
        <w:widowControl w:val="false"/>
        <w:tabs>
          <w:tab w:val="left" w:pos="90" w:leader="none"/>
        </w:tabs>
        <w:jc w:val="both"/>
        <w:rPr>
          <w:b/>
          <w:b/>
          <w:bCs/>
          <w:sz w:val="23"/>
          <w:szCs w:val="23"/>
        </w:rPr>
      </w:pPr>
      <w:r>
        <w:rPr>
          <w:b/>
          <w:bCs/>
          <w:sz w:val="18"/>
          <w:szCs w:val="18"/>
        </w:rPr>
        <w:t xml:space="preserve">Park, </w:t>
      </w:r>
      <w:r>
        <w:rPr>
          <w:bCs/>
          <w:sz w:val="18"/>
          <w:szCs w:val="18"/>
        </w:rPr>
        <w:t>Jeong Seok *</w:t>
      </w:r>
    </w:p>
    <w:p>
      <w:pPr>
        <w:pStyle w:val="Normal"/>
        <w:widowControl w:val="false"/>
        <w:tabs>
          <w:tab w:val="left" w:pos="90" w:leader="none"/>
        </w:tabs>
        <w:jc w:val="both"/>
        <w:rPr>
          <w:sz w:val="20"/>
          <w:szCs w:val="20"/>
        </w:rPr>
      </w:pPr>
      <w:r>
        <w:rPr>
          <w:sz w:val="18"/>
          <w:szCs w:val="18"/>
        </w:rPr>
        <w:t>Fisheries Negotiator, Distant Water Fisheries Division, Ministry of Oceans and Fisheries (MOF), Government Complex Sejong, 94 Dasom 2-ro, Sejong Special Self-Governing City, 339-012 Sejong-City</w:t>
      </w:r>
    </w:p>
    <w:p>
      <w:pPr>
        <w:pStyle w:val="Normal"/>
        <w:widowControl w:val="false"/>
        <w:tabs>
          <w:tab w:val="left" w:pos="90" w:leader="none"/>
        </w:tabs>
        <w:jc w:val="both"/>
        <w:rPr/>
      </w:pPr>
      <w:r>
        <w:rPr>
          <w:sz w:val="18"/>
          <w:szCs w:val="18"/>
          <w:lang w:val="es-ES"/>
        </w:rPr>
        <w:t xml:space="preserve">Tel: +82 44 200 5347, Fax: +82 44 200 5349, E-Mail: </w:t>
      </w:r>
      <w:hyperlink r:id="rId8">
        <w:r>
          <w:rPr>
            <w:rStyle w:val="InternetLink"/>
            <w:color w:val="00000A"/>
            <w:sz w:val="18"/>
            <w:szCs w:val="18"/>
            <w:u w:val="none"/>
            <w:lang w:val="es-ES"/>
          </w:rPr>
          <w:t>jeongseok.korea@gmail.com; icdmomaf@chol.com</w:t>
        </w:r>
      </w:hyperlink>
      <w:r>
        <w:rPr>
          <w:sz w:val="18"/>
          <w:szCs w:val="18"/>
          <w:lang w:val="es-ES"/>
        </w:rPr>
        <w:t>; jspark2@korea.kr</w:t>
      </w:r>
    </w:p>
    <w:p>
      <w:pPr>
        <w:pStyle w:val="Normal"/>
        <w:widowControl w:val="false"/>
        <w:tabs>
          <w:tab w:val="left" w:pos="90" w:leader="none"/>
        </w:tabs>
        <w:jc w:val="both"/>
        <w:rPr>
          <w:b/>
          <w:b/>
          <w:bCs/>
          <w:sz w:val="20"/>
          <w:szCs w:val="20"/>
          <w:lang w:val="es-ES"/>
        </w:rPr>
      </w:pPr>
      <w:r>
        <w:rPr>
          <w:b/>
          <w:bCs/>
          <w:sz w:val="20"/>
          <w:szCs w:val="20"/>
          <w:lang w:val="es-ES"/>
        </w:rPr>
      </w:r>
    </w:p>
    <w:p>
      <w:pPr>
        <w:pStyle w:val="Normal"/>
        <w:widowControl w:val="false"/>
        <w:tabs>
          <w:tab w:val="left" w:pos="90" w:leader="none"/>
        </w:tabs>
        <w:jc w:val="both"/>
        <w:rPr>
          <w:b/>
          <w:b/>
          <w:bCs/>
          <w:sz w:val="25"/>
          <w:szCs w:val="25"/>
          <w:lang w:val="es-ES"/>
        </w:rPr>
      </w:pPr>
      <w:r>
        <w:rPr>
          <w:b/>
          <w:bCs/>
          <w:sz w:val="20"/>
          <w:szCs w:val="20"/>
          <w:lang w:val="es-ES"/>
        </w:rPr>
        <w:t>SENEGAL</w:t>
      </w:r>
    </w:p>
    <w:p>
      <w:pPr>
        <w:pStyle w:val="Normal"/>
        <w:widowControl w:val="false"/>
        <w:tabs>
          <w:tab w:val="left" w:pos="90" w:leader="none"/>
        </w:tabs>
        <w:jc w:val="both"/>
        <w:rPr>
          <w:b/>
          <w:b/>
          <w:bCs/>
          <w:sz w:val="23"/>
          <w:szCs w:val="23"/>
          <w:lang w:val="es-ES"/>
        </w:rPr>
      </w:pPr>
      <w:r>
        <w:rPr>
          <w:b/>
          <w:bCs/>
          <w:sz w:val="18"/>
          <w:szCs w:val="18"/>
          <w:lang w:val="es-ES"/>
        </w:rPr>
        <w:t xml:space="preserve">Faye, </w:t>
      </w:r>
      <w:r>
        <w:rPr>
          <w:bCs/>
          <w:sz w:val="18"/>
          <w:szCs w:val="18"/>
          <w:lang w:val="es-ES"/>
        </w:rPr>
        <w:t>Adama *</w:t>
      </w:r>
    </w:p>
    <w:p>
      <w:pPr>
        <w:pStyle w:val="Normal"/>
        <w:widowControl w:val="false"/>
        <w:tabs>
          <w:tab w:val="left" w:pos="90" w:leader="none"/>
        </w:tabs>
        <w:jc w:val="both"/>
        <w:rPr>
          <w:sz w:val="20"/>
          <w:szCs w:val="20"/>
          <w:lang w:val="fr-FR"/>
        </w:rPr>
      </w:pPr>
      <w:r>
        <w:rPr>
          <w:sz w:val="18"/>
          <w:szCs w:val="18"/>
          <w:lang w:val="fr-FR"/>
        </w:rPr>
        <w:t>Chef de Division Pêche artisanale, Direction, Protection et Surveillance des Pêches, Cite Fenêtre Mermoz, Dakar</w:t>
      </w:r>
    </w:p>
    <w:p>
      <w:pPr>
        <w:pStyle w:val="Normal"/>
        <w:widowControl w:val="false"/>
        <w:tabs>
          <w:tab w:val="left" w:pos="90" w:leader="none"/>
        </w:tabs>
        <w:jc w:val="both"/>
        <w:rPr>
          <w:sz w:val="23"/>
          <w:szCs w:val="23"/>
          <w:lang w:val="fr-FR"/>
        </w:rPr>
      </w:pPr>
      <w:r>
        <w:rPr>
          <w:sz w:val="18"/>
          <w:szCs w:val="18"/>
          <w:lang w:val="fr-FR"/>
        </w:rPr>
        <w:t>E-Mail: adafaye2000@yahoo.fr</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TUNISIA</w:t>
      </w:r>
    </w:p>
    <w:p>
      <w:pPr>
        <w:pStyle w:val="Normal"/>
        <w:widowControl w:val="false"/>
        <w:tabs>
          <w:tab w:val="left" w:pos="90" w:leader="none"/>
        </w:tabs>
        <w:jc w:val="both"/>
        <w:rPr>
          <w:b/>
          <w:b/>
          <w:bCs/>
          <w:sz w:val="23"/>
          <w:szCs w:val="23"/>
          <w:lang w:val="fr-FR"/>
        </w:rPr>
      </w:pPr>
      <w:r>
        <w:rPr>
          <w:b/>
          <w:bCs/>
          <w:sz w:val="18"/>
          <w:szCs w:val="18"/>
          <w:lang w:val="fr-FR"/>
        </w:rPr>
        <w:t xml:space="preserve">Sohlobji, </w:t>
      </w:r>
      <w:r>
        <w:rPr>
          <w:bCs/>
          <w:sz w:val="18"/>
          <w:szCs w:val="18"/>
          <w:lang w:val="fr-FR"/>
        </w:rPr>
        <w:t>Donia *</w:t>
      </w:r>
    </w:p>
    <w:p>
      <w:pPr>
        <w:pStyle w:val="Normal"/>
        <w:widowControl w:val="false"/>
        <w:tabs>
          <w:tab w:val="left" w:pos="90" w:leader="none"/>
        </w:tabs>
        <w:jc w:val="both"/>
        <w:rPr>
          <w:sz w:val="23"/>
          <w:szCs w:val="23"/>
          <w:lang w:val="fr-FR"/>
        </w:rPr>
      </w:pPr>
      <w:r>
        <w:rPr>
          <w:sz w:val="18"/>
          <w:szCs w:val="18"/>
          <w:lang w:val="fr-FR"/>
        </w:rPr>
        <w:t>Direction Générale de la Pêche et de l'Aquaculture, 32 Rue Alain Savary, 1002</w:t>
      </w:r>
    </w:p>
    <w:p>
      <w:pPr>
        <w:pStyle w:val="Normal"/>
        <w:widowControl w:val="false"/>
        <w:tabs>
          <w:tab w:val="left" w:pos="90" w:leader="none"/>
        </w:tabs>
        <w:jc w:val="both"/>
        <w:rPr>
          <w:sz w:val="23"/>
          <w:szCs w:val="23"/>
          <w:lang w:val="fr-FR"/>
        </w:rPr>
      </w:pPr>
      <w:r>
        <w:rPr>
          <w:sz w:val="18"/>
          <w:szCs w:val="18"/>
          <w:lang w:val="fr-FR"/>
        </w:rPr>
        <w:t>Tel: +216 71 890 784, Fax: +216 71 799 401, E-Mail: sohlobji_donia@yahoo.fr</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UNITED STATES</w:t>
      </w:r>
    </w:p>
    <w:p>
      <w:pPr>
        <w:pStyle w:val="Normal"/>
        <w:widowControl w:val="false"/>
        <w:tabs>
          <w:tab w:val="left" w:pos="90" w:leader="none"/>
        </w:tabs>
        <w:jc w:val="both"/>
        <w:rPr>
          <w:bCs/>
          <w:sz w:val="23"/>
          <w:szCs w:val="23"/>
        </w:rPr>
      </w:pPr>
      <w:r>
        <w:rPr>
          <w:b/>
          <w:bCs/>
          <w:sz w:val="18"/>
          <w:szCs w:val="18"/>
        </w:rPr>
        <w:t xml:space="preserve">Smith, </w:t>
      </w:r>
      <w:r>
        <w:rPr>
          <w:bCs/>
          <w:sz w:val="18"/>
          <w:szCs w:val="18"/>
        </w:rPr>
        <w:t>Russell *</w:t>
      </w:r>
    </w:p>
    <w:p>
      <w:pPr>
        <w:pStyle w:val="Normal"/>
        <w:widowControl w:val="false"/>
        <w:tabs>
          <w:tab w:val="left" w:pos="90" w:leader="none"/>
        </w:tabs>
        <w:jc w:val="both"/>
        <w:rPr>
          <w:sz w:val="20"/>
          <w:szCs w:val="20"/>
        </w:rPr>
      </w:pPr>
      <w:r>
        <w:rPr>
          <w:sz w:val="18"/>
          <w:szCs w:val="18"/>
        </w:rPr>
        <w:t>Deputy Assistant Secretary for International Fisheries, National Oceanic and Atmospheric Administration, U.S. Department of Commerce, Room 61013, 1401 Constitution Avenue, NW, Washington DC 20230</w:t>
      </w:r>
    </w:p>
    <w:p>
      <w:pPr>
        <w:pStyle w:val="Normal"/>
        <w:widowControl w:val="false"/>
        <w:tabs>
          <w:tab w:val="left" w:pos="90" w:leader="none"/>
        </w:tabs>
        <w:jc w:val="both"/>
        <w:rPr>
          <w:b/>
          <w:b/>
          <w:bCs/>
          <w:sz w:val="18"/>
          <w:szCs w:val="18"/>
        </w:rPr>
      </w:pPr>
      <w:r>
        <w:rPr>
          <w:sz w:val="18"/>
          <w:szCs w:val="18"/>
        </w:rPr>
        <w:t>Tel: +1 202 482 5682, E-Mail: russell.smith@noaa.gov</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Blankenbeker, </w:t>
      </w:r>
      <w:r>
        <w:rPr>
          <w:bCs/>
          <w:sz w:val="18"/>
          <w:szCs w:val="18"/>
        </w:rPr>
        <w:t>Kimberly</w:t>
      </w:r>
    </w:p>
    <w:p>
      <w:pPr>
        <w:pStyle w:val="Normal"/>
        <w:widowControl w:val="false"/>
        <w:tabs>
          <w:tab w:val="left" w:pos="90" w:leader="none"/>
        </w:tabs>
        <w:jc w:val="both"/>
        <w:rPr>
          <w:sz w:val="20"/>
          <w:szCs w:val="20"/>
        </w:rPr>
      </w:pPr>
      <w:r>
        <w:rPr>
          <w:sz w:val="18"/>
          <w:szCs w:val="18"/>
        </w:rPr>
        <w:t>Foreign Affairs Specialist, Office of International Affairs and Seafood Inspection (F/IA1), National Marine Fisheries Service, 1315 East West Highway, Silver Spring Maryland 20910</w:t>
      </w:r>
    </w:p>
    <w:p>
      <w:pPr>
        <w:pStyle w:val="Normal"/>
        <w:widowControl w:val="false"/>
        <w:tabs>
          <w:tab w:val="left" w:pos="90" w:leader="none"/>
        </w:tabs>
        <w:jc w:val="both"/>
        <w:rPr>
          <w:sz w:val="23"/>
          <w:szCs w:val="23"/>
        </w:rPr>
      </w:pPr>
      <w:r>
        <w:rPr>
          <w:sz w:val="18"/>
          <w:szCs w:val="18"/>
        </w:rPr>
        <w:t>Tel: +1 301 427 8357, Fax: +1 301 713 2313, E-Mail: kimberly.blankenbeker@noaa.gov</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Bogan, </w:t>
      </w:r>
      <w:r>
        <w:rPr>
          <w:bCs/>
          <w:sz w:val="18"/>
          <w:szCs w:val="18"/>
        </w:rPr>
        <w:t>Raymond D.</w:t>
      </w:r>
    </w:p>
    <w:p>
      <w:pPr>
        <w:pStyle w:val="Normal"/>
        <w:widowControl w:val="false"/>
        <w:tabs>
          <w:tab w:val="left" w:pos="90" w:leader="none"/>
        </w:tabs>
        <w:jc w:val="both"/>
        <w:rPr>
          <w:sz w:val="20"/>
          <w:szCs w:val="20"/>
        </w:rPr>
      </w:pPr>
      <w:r>
        <w:rPr>
          <w:sz w:val="18"/>
          <w:szCs w:val="18"/>
        </w:rPr>
        <w:t>Sinn, Fitzsimmons, Cantoli, Bogan &amp; West, 501 Trenton Avenue, P.O. Box 1347, Point Pleasant Beach, Sea Girt New Jersey 08742</w:t>
      </w:r>
    </w:p>
    <w:p>
      <w:pPr>
        <w:pStyle w:val="Normal"/>
        <w:widowControl w:val="false"/>
        <w:tabs>
          <w:tab w:val="left" w:pos="90" w:leader="none"/>
        </w:tabs>
        <w:jc w:val="both"/>
        <w:rPr>
          <w:sz w:val="23"/>
          <w:szCs w:val="23"/>
        </w:rPr>
      </w:pPr>
      <w:r>
        <w:rPr>
          <w:sz w:val="18"/>
          <w:szCs w:val="18"/>
        </w:rPr>
        <w:t>Tel: +1 732 892 1000, Fax: +1 732 892 1075, E-Mail: rbogan@lawyernjshore.com</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Brown, </w:t>
      </w:r>
      <w:r>
        <w:rPr>
          <w:bCs/>
          <w:sz w:val="18"/>
          <w:szCs w:val="18"/>
        </w:rPr>
        <w:t>Craig A.</w:t>
      </w:r>
    </w:p>
    <w:p>
      <w:pPr>
        <w:pStyle w:val="Normal"/>
        <w:widowControl w:val="false"/>
        <w:tabs>
          <w:tab w:val="left" w:pos="90" w:leader="none"/>
        </w:tabs>
        <w:jc w:val="both"/>
        <w:rPr>
          <w:sz w:val="20"/>
          <w:szCs w:val="20"/>
        </w:rPr>
      </w:pPr>
      <w:r>
        <w:rPr>
          <w:sz w:val="18"/>
          <w:szCs w:val="18"/>
        </w:rPr>
        <w:t>Chief, Highly Migratory Species Branch, Sustainable Fisheries Division, NOAA Fisheries Southeast Fisheries Science Center, 75 Virginia Beach Drive, Miami Florida 33149</w:t>
      </w:r>
    </w:p>
    <w:p>
      <w:pPr>
        <w:pStyle w:val="Normal"/>
        <w:widowControl w:val="false"/>
        <w:tabs>
          <w:tab w:val="left" w:pos="90" w:leader="none"/>
        </w:tabs>
        <w:jc w:val="both"/>
        <w:rPr>
          <w:sz w:val="23"/>
          <w:szCs w:val="23"/>
        </w:rPr>
      </w:pPr>
      <w:r>
        <w:rPr>
          <w:sz w:val="18"/>
          <w:szCs w:val="18"/>
        </w:rPr>
        <w:t>Tel: +1 305 586 6589, Fax: +1 305 361 4562, E-Mail: craig.brown@noaa.gov</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King, </w:t>
      </w:r>
      <w:r>
        <w:rPr>
          <w:bCs/>
          <w:sz w:val="18"/>
          <w:szCs w:val="18"/>
        </w:rPr>
        <w:t>Melanie Diamond</w:t>
      </w:r>
    </w:p>
    <w:p>
      <w:pPr>
        <w:pStyle w:val="Normal"/>
        <w:widowControl w:val="false"/>
        <w:tabs>
          <w:tab w:val="left" w:pos="90" w:leader="none"/>
        </w:tabs>
        <w:jc w:val="both"/>
        <w:rPr>
          <w:sz w:val="20"/>
          <w:szCs w:val="20"/>
        </w:rPr>
      </w:pPr>
      <w:r>
        <w:rPr>
          <w:sz w:val="18"/>
          <w:szCs w:val="18"/>
        </w:rPr>
        <w:t>NOAA - National Marine Fishery Service, Office of International Affairs and Seafood Inspection (F/IA1), 1315 East West Highway, Silver Spring Maryland 20910</w:t>
      </w:r>
    </w:p>
    <w:p>
      <w:pPr>
        <w:pStyle w:val="Normal"/>
        <w:widowControl w:val="false"/>
        <w:tabs>
          <w:tab w:val="left" w:pos="90" w:leader="none"/>
        </w:tabs>
        <w:jc w:val="both"/>
        <w:rPr>
          <w:sz w:val="23"/>
          <w:szCs w:val="23"/>
          <w:lang w:val="fr-FR"/>
        </w:rPr>
      </w:pPr>
      <w:r>
        <w:rPr>
          <w:sz w:val="18"/>
          <w:szCs w:val="18"/>
          <w:lang w:val="fr-FR"/>
        </w:rPr>
        <w:t>Tel: +1 301 427 3087, E-Mail: melanie.king@noaa.gov</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3"/>
          <w:szCs w:val="23"/>
          <w:lang w:val="fr-FR"/>
        </w:rPr>
      </w:pPr>
      <w:r>
        <w:rPr>
          <w:b/>
          <w:bCs/>
          <w:sz w:val="18"/>
          <w:szCs w:val="18"/>
          <w:lang w:val="fr-FR"/>
        </w:rPr>
        <w:t xml:space="preserve">McLaughlin, </w:t>
      </w:r>
      <w:r>
        <w:rPr>
          <w:bCs/>
          <w:sz w:val="18"/>
          <w:szCs w:val="18"/>
          <w:lang w:val="fr-FR"/>
        </w:rPr>
        <w:t>Sarah</w:t>
      </w:r>
    </w:p>
    <w:p>
      <w:pPr>
        <w:pStyle w:val="Normal"/>
        <w:widowControl w:val="false"/>
        <w:tabs>
          <w:tab w:val="left" w:pos="90" w:leader="none"/>
        </w:tabs>
        <w:jc w:val="both"/>
        <w:rPr>
          <w:sz w:val="20"/>
          <w:szCs w:val="20"/>
        </w:rPr>
      </w:pPr>
      <w:r>
        <w:rPr>
          <w:sz w:val="18"/>
          <w:szCs w:val="18"/>
        </w:rPr>
        <w:t>Fishery Management Specialist, National Marine Fisheries Service, Highly Migratory Species Management Division, 55 Great Republic Drive, Gloucester 01930, Massachusetts</w:t>
      </w:r>
    </w:p>
    <w:p>
      <w:pPr>
        <w:pStyle w:val="Normal"/>
        <w:widowControl w:val="false"/>
        <w:tabs>
          <w:tab w:val="left" w:pos="90" w:leader="none"/>
        </w:tabs>
        <w:jc w:val="both"/>
        <w:rPr>
          <w:sz w:val="23"/>
          <w:szCs w:val="23"/>
          <w:lang w:val="fr-FR"/>
        </w:rPr>
      </w:pPr>
      <w:r>
        <w:rPr>
          <w:sz w:val="18"/>
          <w:szCs w:val="18"/>
          <w:lang w:val="fr-FR"/>
        </w:rPr>
        <w:t>Tel: +978 281 9260, Fax: +978 281 9340, E-Mail: sarah.mclaughlin@noaa.gov</w:t>
      </w:r>
    </w:p>
    <w:p>
      <w:pPr>
        <w:pStyle w:val="Normal"/>
        <w:widowControl w:val="false"/>
        <w:tabs>
          <w:tab w:val="left" w:pos="90" w:leader="none"/>
        </w:tabs>
        <w:jc w:val="both"/>
        <w:rPr>
          <w:b/>
          <w:b/>
          <w:bCs/>
          <w:sz w:val="18"/>
          <w:szCs w:val="18"/>
          <w:lang w:val="fr-FR"/>
        </w:rPr>
      </w:pPr>
      <w:r>
        <w:rPr>
          <w:b/>
          <w:bCs/>
          <w:sz w:val="18"/>
          <w:szCs w:val="18"/>
          <w:lang w:val="fr-FR"/>
        </w:rPr>
      </w:r>
    </w:p>
    <w:p>
      <w:pPr>
        <w:pStyle w:val="Normal"/>
        <w:widowControl w:val="false"/>
        <w:tabs>
          <w:tab w:val="left" w:pos="90" w:leader="none"/>
        </w:tabs>
        <w:jc w:val="both"/>
        <w:rPr>
          <w:b/>
          <w:b/>
          <w:bCs/>
          <w:sz w:val="23"/>
          <w:szCs w:val="23"/>
          <w:lang w:val="fr-FR"/>
        </w:rPr>
      </w:pPr>
      <w:r>
        <w:rPr>
          <w:b/>
          <w:bCs/>
          <w:sz w:val="18"/>
          <w:szCs w:val="18"/>
          <w:lang w:val="fr-FR"/>
        </w:rPr>
        <w:t xml:space="preserve">O'Malley, </w:t>
      </w:r>
      <w:r>
        <w:rPr>
          <w:bCs/>
          <w:sz w:val="18"/>
          <w:szCs w:val="18"/>
          <w:lang w:val="fr-FR"/>
        </w:rPr>
        <w:t>Rachel</w:t>
      </w:r>
    </w:p>
    <w:p>
      <w:pPr>
        <w:pStyle w:val="Normal"/>
        <w:widowControl w:val="false"/>
        <w:tabs>
          <w:tab w:val="left" w:pos="90" w:leader="none"/>
        </w:tabs>
        <w:jc w:val="both"/>
        <w:rPr>
          <w:sz w:val="20"/>
          <w:szCs w:val="20"/>
        </w:rPr>
      </w:pPr>
      <w:r>
        <w:rPr>
          <w:sz w:val="18"/>
          <w:szCs w:val="18"/>
        </w:rPr>
        <w:t>Office of International Affairs and Seafood Inspection (F/IA1), National Marine Fisheries Service, 1315 East-West Highway - Room 10653, Silver Spring, MD 20910</w:t>
      </w:r>
    </w:p>
    <w:p>
      <w:pPr>
        <w:pStyle w:val="Normal"/>
        <w:widowControl w:val="false"/>
        <w:tabs>
          <w:tab w:val="left" w:pos="90" w:leader="none"/>
        </w:tabs>
        <w:jc w:val="both"/>
        <w:rPr>
          <w:sz w:val="23"/>
          <w:szCs w:val="23"/>
          <w:lang w:val="es-ES"/>
        </w:rPr>
      </w:pPr>
      <w:r>
        <w:rPr>
          <w:sz w:val="18"/>
          <w:szCs w:val="18"/>
          <w:lang w:val="es-ES"/>
        </w:rPr>
        <w:t>Tel: +1 301 427 8373, Fax: +1 301 713 2313, E-Mail: rachel.o'malley@noaa.gov</w:t>
      </w:r>
    </w:p>
    <w:p>
      <w:pPr>
        <w:pStyle w:val="Normal"/>
        <w:widowControl w:val="false"/>
        <w:tabs>
          <w:tab w:val="left" w:pos="90" w:leader="none"/>
        </w:tabs>
        <w:jc w:val="both"/>
        <w:rPr>
          <w:b/>
          <w:b/>
          <w:bCs/>
          <w:sz w:val="18"/>
          <w:szCs w:val="18"/>
          <w:lang w:val="es-ES"/>
        </w:rPr>
      </w:pPr>
      <w:r>
        <w:rPr>
          <w:b/>
          <w:bCs/>
          <w:sz w:val="18"/>
          <w:szCs w:val="18"/>
          <w:lang w:val="es-ES"/>
        </w:rPr>
      </w:r>
    </w:p>
    <w:p>
      <w:pPr>
        <w:pStyle w:val="Normal"/>
        <w:widowControl w:val="false"/>
        <w:tabs>
          <w:tab w:val="left" w:pos="90" w:leader="none"/>
        </w:tabs>
        <w:jc w:val="both"/>
        <w:rPr>
          <w:bCs/>
          <w:sz w:val="23"/>
          <w:szCs w:val="23"/>
          <w:lang w:val="es-ES"/>
        </w:rPr>
      </w:pPr>
      <w:r>
        <w:rPr>
          <w:b/>
          <w:bCs/>
          <w:sz w:val="18"/>
          <w:szCs w:val="18"/>
          <w:lang w:val="es-ES"/>
        </w:rPr>
        <w:t xml:space="preserve">Walline, </w:t>
      </w:r>
      <w:r>
        <w:rPr>
          <w:bCs/>
          <w:sz w:val="18"/>
          <w:szCs w:val="18"/>
          <w:lang w:val="es-ES"/>
        </w:rPr>
        <w:t>Megan J.</w:t>
      </w:r>
    </w:p>
    <w:p>
      <w:pPr>
        <w:pStyle w:val="Normal"/>
        <w:widowControl w:val="false"/>
        <w:tabs>
          <w:tab w:val="left" w:pos="90" w:leader="none"/>
        </w:tabs>
        <w:jc w:val="both"/>
        <w:rPr>
          <w:sz w:val="20"/>
          <w:szCs w:val="20"/>
        </w:rPr>
      </w:pPr>
      <w:r>
        <w:rPr>
          <w:sz w:val="18"/>
          <w:szCs w:val="18"/>
        </w:rPr>
        <w:t xml:space="preserve">Attorney- Advisor, Office of the General Counsel for Fisheries, National Oceanic and Atmospheric Administration, U.S. Department of Commerce, 1315 East-West Highway SSMC-III, Silver Spring, Maryland 20910 </w:t>
      </w:r>
    </w:p>
    <w:p>
      <w:pPr>
        <w:pStyle w:val="Normal"/>
        <w:widowControl w:val="false"/>
        <w:tabs>
          <w:tab w:val="left" w:pos="90" w:leader="none"/>
        </w:tabs>
        <w:jc w:val="both"/>
        <w:rPr>
          <w:sz w:val="23"/>
          <w:szCs w:val="23"/>
          <w:lang w:val="fr-FR"/>
        </w:rPr>
      </w:pPr>
      <w:r>
        <w:rPr>
          <w:sz w:val="18"/>
          <w:szCs w:val="18"/>
          <w:lang w:val="fr-FR"/>
        </w:rPr>
        <w:t>Tel: +301 713 9695, Fax: +1 301 713 0658, E-Mail: megan.walline@noaa.gov</w:t>
      </w:r>
    </w:p>
    <w:p>
      <w:pPr>
        <w:pStyle w:val="Normal"/>
        <w:jc w:val="both"/>
        <w:rPr>
          <w:b/>
          <w:b/>
          <w:bCs/>
          <w:i/>
          <w:i/>
          <w:sz w:val="20"/>
          <w:szCs w:val="20"/>
          <w:lang w:val="fr-FR"/>
        </w:rPr>
      </w:pPr>
      <w:r>
        <w:rPr>
          <w:b/>
          <w:bCs/>
          <w:i/>
          <w:sz w:val="20"/>
          <w:szCs w:val="20"/>
          <w:lang w:val="fr-FR"/>
        </w:rPr>
      </w:r>
    </w:p>
    <w:p>
      <w:pPr>
        <w:pStyle w:val="Normal"/>
        <w:widowControl w:val="false"/>
        <w:tabs>
          <w:tab w:val="left" w:pos="90" w:leader="none"/>
        </w:tabs>
        <w:jc w:val="both"/>
        <w:rPr>
          <w:sz w:val="18"/>
          <w:szCs w:val="18"/>
          <w:lang w:val="fr-FR"/>
        </w:rPr>
      </w:pPr>
      <w:r>
        <w:rPr>
          <w:b/>
          <w:sz w:val="18"/>
          <w:szCs w:val="18"/>
          <w:lang w:val="fr-FR"/>
        </w:rPr>
        <w:t>Warner-Kramer</w:t>
      </w:r>
      <w:r>
        <w:rPr>
          <w:sz w:val="18"/>
          <w:szCs w:val="18"/>
          <w:lang w:val="fr-FR"/>
        </w:rPr>
        <w:t>, Deirdre</w:t>
      </w:r>
    </w:p>
    <w:p>
      <w:pPr>
        <w:pStyle w:val="Normal"/>
        <w:widowControl w:val="false"/>
        <w:tabs>
          <w:tab w:val="left" w:pos="90" w:leader="none"/>
        </w:tabs>
        <w:jc w:val="both"/>
        <w:rPr>
          <w:sz w:val="18"/>
          <w:szCs w:val="18"/>
        </w:rPr>
      </w:pPr>
      <w:r>
        <w:rPr>
          <w:sz w:val="18"/>
          <w:szCs w:val="18"/>
        </w:rPr>
        <w:t>Office of Marine Conservation (OES/OMC), Department of State, Washington, DC 20520-7878, United States</w:t>
      </w:r>
    </w:p>
    <w:p>
      <w:pPr>
        <w:pStyle w:val="Normal"/>
        <w:widowControl w:val="false"/>
        <w:tabs>
          <w:tab w:val="left" w:pos="90" w:leader="none"/>
        </w:tabs>
        <w:jc w:val="both"/>
        <w:rPr>
          <w:sz w:val="18"/>
          <w:szCs w:val="18"/>
        </w:rPr>
      </w:pPr>
      <w:r>
        <w:rPr>
          <w:sz w:val="18"/>
          <w:szCs w:val="18"/>
        </w:rPr>
        <w:t>Tel: +1 202 647 2883; Fax: +1 202 736 7350; E-Mail: warner-kramerdm@state.gov</w:t>
      </w:r>
    </w:p>
    <w:p>
      <w:pPr>
        <w:pStyle w:val="Normal"/>
        <w:jc w:val="both"/>
        <w:rPr>
          <w:b/>
          <w:b/>
          <w:bCs/>
          <w:i/>
          <w:i/>
          <w:sz w:val="20"/>
          <w:szCs w:val="20"/>
        </w:rPr>
      </w:pPr>
      <w:r>
        <w:rPr>
          <w:b/>
          <w:bCs/>
          <w:i/>
          <w:sz w:val="20"/>
          <w:szCs w:val="20"/>
        </w:rPr>
      </w:r>
    </w:p>
    <w:p>
      <w:pPr>
        <w:pStyle w:val="Normal"/>
        <w:jc w:val="both"/>
        <w:rPr>
          <w:b/>
          <w:b/>
          <w:bCs/>
          <w:i/>
          <w:i/>
          <w:sz w:val="20"/>
          <w:szCs w:val="20"/>
        </w:rPr>
      </w:pPr>
      <w:r>
        <w:rPr>
          <w:b/>
          <w:bCs/>
          <w:i/>
          <w:sz w:val="20"/>
          <w:szCs w:val="20"/>
        </w:rPr>
      </w:r>
    </w:p>
    <w:p>
      <w:pPr>
        <w:pStyle w:val="Normal"/>
        <w:jc w:val="both"/>
        <w:rPr>
          <w:b/>
          <w:b/>
          <w:bCs/>
          <w:i/>
          <w:i/>
          <w:sz w:val="20"/>
          <w:szCs w:val="20"/>
        </w:rPr>
      </w:pPr>
      <w:r>
        <w:rPr>
          <w:b/>
          <w:bCs/>
          <w:i/>
          <w:sz w:val="20"/>
          <w:szCs w:val="20"/>
        </w:rPr>
        <w:t>OBSERVERS FROM COOPERATING NON-CONTRACTING PARTIES, ENTITIES, FISHING ENTITIES</w:t>
      </w:r>
    </w:p>
    <w:p>
      <w:pPr>
        <w:pStyle w:val="Normal"/>
        <w:widowControl w:val="false"/>
        <w:tabs>
          <w:tab w:val="left" w:pos="90" w:leader="none"/>
        </w:tabs>
        <w:jc w:val="both"/>
        <w:rPr>
          <w:b/>
          <w:b/>
          <w:bCs/>
          <w:sz w:val="20"/>
          <w:szCs w:val="20"/>
        </w:rPr>
      </w:pPr>
      <w:r>
        <w:rPr>
          <w:b/>
          <w:bCs/>
          <w:sz w:val="20"/>
          <w:szCs w:val="20"/>
        </w:rPr>
      </w:r>
    </w:p>
    <w:p>
      <w:pPr>
        <w:pStyle w:val="Normal"/>
        <w:widowControl w:val="false"/>
        <w:tabs>
          <w:tab w:val="left" w:pos="90" w:leader="none"/>
        </w:tabs>
        <w:jc w:val="both"/>
        <w:rPr>
          <w:b/>
          <w:b/>
          <w:bCs/>
          <w:sz w:val="25"/>
          <w:szCs w:val="25"/>
          <w:lang w:val="fr-FR"/>
        </w:rPr>
      </w:pPr>
      <w:r>
        <w:rPr>
          <w:b/>
          <w:bCs/>
          <w:sz w:val="20"/>
          <w:szCs w:val="20"/>
          <w:lang w:val="fr-FR"/>
        </w:rPr>
        <w:t>CHINESE TAIPEI</w:t>
      </w:r>
    </w:p>
    <w:p>
      <w:pPr>
        <w:pStyle w:val="Normal"/>
        <w:widowControl w:val="false"/>
        <w:tabs>
          <w:tab w:val="left" w:pos="90" w:leader="none"/>
        </w:tabs>
        <w:jc w:val="both"/>
        <w:rPr>
          <w:b/>
          <w:b/>
          <w:bCs/>
          <w:sz w:val="23"/>
          <w:szCs w:val="23"/>
        </w:rPr>
      </w:pPr>
      <w:r>
        <w:rPr>
          <w:b/>
          <w:bCs/>
          <w:sz w:val="18"/>
          <w:szCs w:val="18"/>
        </w:rPr>
        <w:t xml:space="preserve">Chou, </w:t>
      </w:r>
      <w:r>
        <w:rPr>
          <w:bCs/>
          <w:sz w:val="18"/>
          <w:szCs w:val="18"/>
        </w:rPr>
        <w:t>Shih-Chin *</w:t>
      </w:r>
    </w:p>
    <w:p>
      <w:pPr>
        <w:pStyle w:val="Normal"/>
        <w:widowControl w:val="false"/>
        <w:tabs>
          <w:tab w:val="left" w:pos="90" w:leader="none"/>
        </w:tabs>
        <w:jc w:val="both"/>
        <w:rPr>
          <w:sz w:val="20"/>
          <w:szCs w:val="20"/>
        </w:rPr>
      </w:pPr>
      <w:r>
        <w:rPr>
          <w:sz w:val="18"/>
          <w:szCs w:val="18"/>
        </w:rPr>
        <w:t>Section Chief, International Economics and Trade Section, Deep Sea Fisheries Division, Fisheries Agency, 8F, No. 100, Sec. 2, Heping W. Rd., Zhongzheng District, 10070, Taipei City</w:t>
      </w:r>
    </w:p>
    <w:p>
      <w:pPr>
        <w:pStyle w:val="Normal"/>
        <w:widowControl w:val="false"/>
        <w:tabs>
          <w:tab w:val="left" w:pos="90" w:leader="none"/>
        </w:tabs>
        <w:jc w:val="both"/>
        <w:rPr>
          <w:sz w:val="23"/>
          <w:szCs w:val="23"/>
        </w:rPr>
      </w:pPr>
      <w:r>
        <w:rPr>
          <w:sz w:val="18"/>
          <w:szCs w:val="18"/>
        </w:rPr>
        <w:t>Tel: +886 2 2383 5915, Fax: +886 2 2332 7395, E-Mail: shihcin@ms1.fa.gov.tw</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Lin, </w:t>
      </w:r>
      <w:r>
        <w:rPr>
          <w:bCs/>
          <w:sz w:val="18"/>
          <w:szCs w:val="18"/>
        </w:rPr>
        <w:t>Yen-Ju</w:t>
      </w:r>
    </w:p>
    <w:p>
      <w:pPr>
        <w:pStyle w:val="Normal"/>
        <w:widowControl w:val="false"/>
        <w:tabs>
          <w:tab w:val="left" w:pos="90" w:leader="none"/>
        </w:tabs>
        <w:jc w:val="both"/>
        <w:rPr>
          <w:sz w:val="20"/>
          <w:szCs w:val="20"/>
        </w:rPr>
      </w:pPr>
      <w:r>
        <w:rPr>
          <w:sz w:val="18"/>
          <w:szCs w:val="18"/>
        </w:rPr>
        <w:t>Specialist, International Economics and Trade Section, Deep Sea Fisheries Division, Fisheries Agency, Council of Agriculture, 8F, No. 100, Sec. 2, Heping W. Rd., Zhongzheng Dist., 10070, Taipei City</w:t>
      </w:r>
    </w:p>
    <w:p>
      <w:pPr>
        <w:pStyle w:val="Normal"/>
        <w:widowControl w:val="false"/>
        <w:tabs>
          <w:tab w:val="left" w:pos="90" w:leader="none"/>
        </w:tabs>
        <w:jc w:val="both"/>
        <w:rPr>
          <w:sz w:val="23"/>
          <w:szCs w:val="23"/>
        </w:rPr>
      </w:pPr>
      <w:r>
        <w:rPr>
          <w:sz w:val="18"/>
          <w:szCs w:val="18"/>
        </w:rPr>
        <w:t>Tel: +886 2 2383 5912, Fax: +886 2 2332 7395, E-Mail: yenju@ms1.fa.gov.tw</w:t>
      </w:r>
    </w:p>
    <w:p>
      <w:pPr>
        <w:pStyle w:val="Normal"/>
        <w:widowControl w:val="false"/>
        <w:tabs>
          <w:tab w:val="left" w:pos="90" w:leader="none"/>
        </w:tabs>
        <w:jc w:val="both"/>
        <w:rPr>
          <w:b/>
          <w:b/>
          <w:bCs/>
          <w:sz w:val="18"/>
          <w:szCs w:val="18"/>
        </w:rPr>
      </w:pPr>
      <w:r>
        <w:rPr>
          <w:b/>
          <w:bCs/>
          <w:sz w:val="18"/>
          <w:szCs w:val="18"/>
        </w:rPr>
      </w:r>
    </w:p>
    <w:p>
      <w:pPr>
        <w:pStyle w:val="Normal"/>
        <w:widowControl w:val="false"/>
        <w:tabs>
          <w:tab w:val="left" w:pos="90" w:leader="none"/>
        </w:tabs>
        <w:jc w:val="both"/>
        <w:rPr>
          <w:b/>
          <w:b/>
          <w:bCs/>
          <w:sz w:val="23"/>
          <w:szCs w:val="23"/>
        </w:rPr>
      </w:pPr>
      <w:r>
        <w:rPr>
          <w:b/>
          <w:bCs/>
          <w:sz w:val="18"/>
          <w:szCs w:val="18"/>
        </w:rPr>
        <w:t xml:space="preserve">Yang, </w:t>
      </w:r>
      <w:r>
        <w:rPr>
          <w:bCs/>
          <w:sz w:val="18"/>
          <w:szCs w:val="18"/>
        </w:rPr>
        <w:t>Shan-Wen</w:t>
      </w:r>
    </w:p>
    <w:p>
      <w:pPr>
        <w:pStyle w:val="Normal"/>
        <w:widowControl w:val="false"/>
        <w:tabs>
          <w:tab w:val="left" w:pos="90" w:leader="none"/>
        </w:tabs>
        <w:jc w:val="both"/>
        <w:rPr>
          <w:sz w:val="23"/>
          <w:szCs w:val="23"/>
        </w:rPr>
      </w:pPr>
      <w:r>
        <w:rPr>
          <w:sz w:val="18"/>
          <w:szCs w:val="18"/>
        </w:rPr>
        <w:t>Secretary, Overseas Fisheries Development Council, 3F. No. 14, Wenzhou Street, Taipei City</w:t>
      </w:r>
    </w:p>
    <w:p>
      <w:pPr>
        <w:pStyle w:val="Normal"/>
        <w:widowControl w:val="false"/>
        <w:tabs>
          <w:tab w:val="left" w:pos="90" w:leader="none"/>
        </w:tabs>
        <w:jc w:val="both"/>
        <w:rPr>
          <w:sz w:val="23"/>
          <w:szCs w:val="23"/>
        </w:rPr>
      </w:pPr>
      <w:r>
        <w:rPr>
          <w:sz w:val="18"/>
          <w:szCs w:val="18"/>
        </w:rPr>
        <w:t>Tel: +886 2 2368 0889 #151, Fax: +886 2 2368 8418, E-Mail: shenwen@ofdc.org.tw</w:t>
      </w:r>
    </w:p>
    <w:p>
      <w:pPr>
        <w:pStyle w:val="Normal"/>
        <w:widowControl w:val="false"/>
        <w:tabs>
          <w:tab w:val="left" w:pos="90" w:leader="none"/>
        </w:tabs>
        <w:jc w:val="both"/>
        <w:rPr>
          <w:b/>
          <w:b/>
          <w:bCs/>
          <w:sz w:val="20"/>
          <w:szCs w:val="20"/>
        </w:rPr>
      </w:pPr>
      <w:r>
        <w:rPr>
          <w:b/>
          <w:bCs/>
          <w:sz w:val="20"/>
          <w:szCs w:val="20"/>
        </w:rPr>
      </w:r>
    </w:p>
    <w:p>
      <w:pPr>
        <w:pStyle w:val="Normal"/>
        <w:widowControl w:val="false"/>
        <w:tabs>
          <w:tab w:val="left" w:pos="90" w:leader="none"/>
        </w:tabs>
        <w:jc w:val="both"/>
        <w:rPr>
          <w:b/>
          <w:b/>
          <w:bCs/>
          <w:i/>
          <w:i/>
          <w:sz w:val="20"/>
          <w:szCs w:val="20"/>
        </w:rPr>
      </w:pPr>
      <w:r>
        <w:rPr>
          <w:b/>
          <w:bCs/>
          <w:i/>
          <w:sz w:val="20"/>
          <w:szCs w:val="20"/>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b/>
          <w:b/>
          <w:bCs/>
          <w:sz w:val="20"/>
          <w:szCs w:val="20"/>
          <w:lang w:val="fr-FR"/>
        </w:rPr>
      </w:pPr>
      <w:r>
        <w:rPr>
          <w:b/>
          <w:bCs/>
          <w:i/>
          <w:sz w:val="20"/>
          <w:szCs w:val="20"/>
          <w:lang w:val="fr-FR"/>
        </w:rPr>
        <w:t>OBSERVERS FROM NON-GOVERNMENTAL ORGANIZATIONS</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rPr>
      </w:pPr>
      <w:r>
        <w:rPr>
          <w:b/>
          <w:bCs/>
          <w:sz w:val="20"/>
          <w:szCs w:val="20"/>
        </w:rPr>
        <w:t>ECOLOGY ACTION CENTRE - EAC</w:t>
      </w:r>
    </w:p>
    <w:p>
      <w:pPr>
        <w:pStyle w:val="Normal"/>
        <w:widowControl w:val="false"/>
        <w:tabs>
          <w:tab w:val="left" w:pos="90" w:leader="none"/>
        </w:tabs>
        <w:jc w:val="both"/>
        <w:rPr>
          <w:b/>
          <w:b/>
          <w:bCs/>
          <w:sz w:val="23"/>
          <w:szCs w:val="23"/>
        </w:rPr>
      </w:pPr>
      <w:r>
        <w:rPr>
          <w:b/>
          <w:bCs/>
          <w:sz w:val="18"/>
          <w:szCs w:val="18"/>
        </w:rPr>
        <w:t xml:space="preserve">Schleit, </w:t>
      </w:r>
      <w:r>
        <w:rPr>
          <w:bCs/>
          <w:sz w:val="18"/>
          <w:szCs w:val="18"/>
        </w:rPr>
        <w:t>Kathryn</w:t>
      </w:r>
    </w:p>
    <w:p>
      <w:pPr>
        <w:pStyle w:val="Normal"/>
        <w:widowControl w:val="false"/>
        <w:tabs>
          <w:tab w:val="left" w:pos="90" w:leader="none"/>
        </w:tabs>
        <w:jc w:val="both"/>
        <w:rPr>
          <w:sz w:val="23"/>
          <w:szCs w:val="23"/>
        </w:rPr>
      </w:pPr>
      <w:r>
        <w:rPr>
          <w:sz w:val="18"/>
          <w:szCs w:val="18"/>
        </w:rPr>
        <w:t>Ecology Action Centre - EAC, 2705 Fern Lane, Halifax, NS B3K 4L3, Canada</w:t>
      </w:r>
    </w:p>
    <w:p>
      <w:pPr>
        <w:pStyle w:val="Normal"/>
        <w:widowControl w:val="false"/>
        <w:tabs>
          <w:tab w:val="left" w:pos="90" w:leader="none"/>
        </w:tabs>
        <w:jc w:val="both"/>
        <w:rPr>
          <w:sz w:val="23"/>
          <w:szCs w:val="23"/>
        </w:rPr>
      </w:pPr>
      <w:r>
        <w:rPr>
          <w:sz w:val="18"/>
          <w:szCs w:val="18"/>
        </w:rPr>
        <w:t>Tel: +1 902 488 4078, E-Mail: kschleit@ecologyaction.ca</w:t>
      </w:r>
    </w:p>
    <w:p>
      <w:pPr>
        <w:pStyle w:val="Normal"/>
        <w:widowControl w:val="false"/>
        <w:tabs>
          <w:tab w:val="left" w:pos="90" w:leader="none"/>
        </w:tabs>
        <w:jc w:val="both"/>
        <w:rPr>
          <w:b/>
          <w:b/>
          <w:bCs/>
          <w:sz w:val="20"/>
          <w:szCs w:val="20"/>
        </w:rPr>
      </w:pPr>
      <w:r>
        <w:rPr>
          <w:b/>
          <w:bCs/>
          <w:sz w:val="20"/>
          <w:szCs w:val="20"/>
        </w:rPr>
      </w:r>
    </w:p>
    <w:p>
      <w:pPr>
        <w:pStyle w:val="Normal"/>
        <w:widowControl w:val="false"/>
        <w:tabs>
          <w:tab w:val="left" w:pos="90" w:leader="none"/>
        </w:tabs>
        <w:jc w:val="both"/>
        <w:rPr>
          <w:b/>
          <w:b/>
          <w:bCs/>
          <w:sz w:val="25"/>
          <w:szCs w:val="25"/>
        </w:rPr>
      </w:pPr>
      <w:r>
        <w:rPr>
          <w:b/>
          <w:bCs/>
          <w:sz w:val="20"/>
          <w:szCs w:val="20"/>
        </w:rPr>
        <w:t>INTERNATIONAL SEAFOOD SUSTAINABILITY FOUNDATION – ISSF</w:t>
      </w:r>
    </w:p>
    <w:p>
      <w:pPr>
        <w:pStyle w:val="Normal"/>
        <w:widowControl w:val="false"/>
        <w:tabs>
          <w:tab w:val="left" w:pos="90" w:leader="none"/>
        </w:tabs>
        <w:jc w:val="both"/>
        <w:rPr>
          <w:b/>
          <w:b/>
          <w:bCs/>
          <w:sz w:val="23"/>
          <w:szCs w:val="23"/>
        </w:rPr>
      </w:pPr>
      <w:r>
        <w:rPr>
          <w:b/>
          <w:bCs/>
          <w:sz w:val="18"/>
          <w:szCs w:val="18"/>
        </w:rPr>
        <w:t xml:space="preserve">Scott, </w:t>
      </w:r>
      <w:r>
        <w:rPr>
          <w:bCs/>
          <w:sz w:val="18"/>
          <w:szCs w:val="18"/>
        </w:rPr>
        <w:t>Gerald P.</w:t>
      </w:r>
    </w:p>
    <w:p>
      <w:pPr>
        <w:pStyle w:val="Normal"/>
        <w:widowControl w:val="false"/>
        <w:tabs>
          <w:tab w:val="left" w:pos="90" w:leader="none"/>
        </w:tabs>
        <w:jc w:val="both"/>
        <w:rPr>
          <w:sz w:val="23"/>
          <w:szCs w:val="23"/>
        </w:rPr>
      </w:pPr>
      <w:r>
        <w:rPr>
          <w:sz w:val="18"/>
          <w:szCs w:val="18"/>
        </w:rPr>
        <w:t>11699 SW 50th Ct, Cooper City, Florida 33330, United States</w:t>
      </w:r>
    </w:p>
    <w:p>
      <w:pPr>
        <w:pStyle w:val="Normal"/>
        <w:widowControl w:val="false"/>
        <w:tabs>
          <w:tab w:val="left" w:pos="90" w:leader="none"/>
        </w:tabs>
        <w:jc w:val="both"/>
        <w:rPr>
          <w:sz w:val="23"/>
          <w:szCs w:val="23"/>
        </w:rPr>
      </w:pPr>
      <w:r>
        <w:rPr>
          <w:sz w:val="18"/>
          <w:szCs w:val="18"/>
        </w:rPr>
        <w:t>Tel: +1 954 465 5589, E-Mail: gpscott_fish@hotmail.com</w:t>
      </w:r>
    </w:p>
    <w:p>
      <w:pPr>
        <w:pStyle w:val="Normal"/>
        <w:widowControl w:val="false"/>
        <w:tabs>
          <w:tab w:val="left" w:pos="90" w:leader="none"/>
        </w:tabs>
        <w:jc w:val="both"/>
        <w:rPr>
          <w:b/>
          <w:b/>
          <w:bCs/>
          <w:sz w:val="20"/>
          <w:szCs w:val="20"/>
        </w:rPr>
      </w:pPr>
      <w:r>
        <w:rPr>
          <w:b/>
          <w:bCs/>
          <w:sz w:val="20"/>
          <w:szCs w:val="20"/>
        </w:rPr>
      </w:r>
    </w:p>
    <w:p>
      <w:pPr>
        <w:pStyle w:val="Normal"/>
        <w:widowControl w:val="false"/>
        <w:tabs>
          <w:tab w:val="left" w:pos="90" w:leader="none"/>
        </w:tabs>
        <w:jc w:val="both"/>
        <w:rPr>
          <w:b/>
          <w:b/>
          <w:bCs/>
          <w:sz w:val="25"/>
          <w:szCs w:val="25"/>
        </w:rPr>
      </w:pPr>
      <w:r>
        <w:rPr>
          <w:b/>
          <w:bCs/>
          <w:sz w:val="20"/>
          <w:szCs w:val="20"/>
        </w:rPr>
        <w:t>PEW CHARITABLE TRUSTS - PEW</w:t>
      </w:r>
    </w:p>
    <w:p>
      <w:pPr>
        <w:pStyle w:val="Normal"/>
        <w:widowControl w:val="false"/>
        <w:tabs>
          <w:tab w:val="left" w:pos="90" w:leader="none"/>
        </w:tabs>
        <w:jc w:val="both"/>
        <w:rPr>
          <w:b/>
          <w:b/>
          <w:bCs/>
          <w:sz w:val="23"/>
          <w:szCs w:val="23"/>
        </w:rPr>
      </w:pPr>
      <w:r>
        <w:rPr>
          <w:b/>
          <w:bCs/>
          <w:sz w:val="18"/>
          <w:szCs w:val="18"/>
        </w:rPr>
        <w:t xml:space="preserve">Hopkins, </w:t>
      </w:r>
      <w:r>
        <w:rPr>
          <w:bCs/>
          <w:sz w:val="18"/>
          <w:szCs w:val="18"/>
        </w:rPr>
        <w:t>Rachel</w:t>
      </w:r>
    </w:p>
    <w:p>
      <w:pPr>
        <w:pStyle w:val="Normal"/>
        <w:widowControl w:val="false"/>
        <w:tabs>
          <w:tab w:val="left" w:pos="90" w:leader="none"/>
        </w:tabs>
        <w:jc w:val="both"/>
        <w:rPr>
          <w:sz w:val="23"/>
          <w:szCs w:val="23"/>
        </w:rPr>
      </w:pPr>
      <w:r>
        <w:rPr>
          <w:sz w:val="18"/>
          <w:szCs w:val="18"/>
        </w:rPr>
        <w:t>Pew Charitable Trusts, 901 E Street, Washington DC 20004, United States</w:t>
      </w:r>
    </w:p>
    <w:p>
      <w:pPr>
        <w:pStyle w:val="Normal"/>
        <w:widowControl w:val="false"/>
        <w:tabs>
          <w:tab w:val="left" w:pos="90" w:leader="none"/>
        </w:tabs>
        <w:jc w:val="both"/>
        <w:rPr>
          <w:sz w:val="18"/>
          <w:szCs w:val="18"/>
          <w:lang w:val="fr-FR"/>
        </w:rPr>
      </w:pPr>
      <w:r>
        <w:rPr>
          <w:sz w:val="18"/>
          <w:szCs w:val="18"/>
          <w:lang w:val="fr-FR"/>
        </w:rPr>
        <w:t>Tel: +1 215 713 5383, E-Mail: rhopkins@pewtrusts.org</w:t>
      </w:r>
    </w:p>
    <w:p>
      <w:pPr>
        <w:pStyle w:val="Normal"/>
        <w:widowControl w:val="false"/>
        <w:tabs>
          <w:tab w:val="left" w:pos="90" w:leader="none"/>
        </w:tabs>
        <w:jc w:val="both"/>
        <w:rPr>
          <w:sz w:val="23"/>
          <w:szCs w:val="23"/>
          <w:lang w:val="fr-FR"/>
        </w:rPr>
      </w:pPr>
      <w:r>
        <w:rPr>
          <w:sz w:val="23"/>
          <w:szCs w:val="23"/>
          <w:lang w:val="fr-FR"/>
        </w:rPr>
      </w:r>
    </w:p>
    <w:p>
      <w:pPr>
        <w:pStyle w:val="Normal"/>
        <w:widowControl w:val="false"/>
        <w:tabs>
          <w:tab w:val="left" w:pos="90" w:leader="none"/>
        </w:tabs>
        <w:jc w:val="both"/>
        <w:rPr>
          <w:b/>
          <w:b/>
          <w:bCs/>
          <w:i/>
          <w:i/>
          <w:sz w:val="20"/>
          <w:szCs w:val="20"/>
          <w:lang w:val="fr-FR"/>
        </w:rPr>
      </w:pPr>
      <w:r>
        <w:rPr>
          <w:b/>
          <w:bCs/>
          <w:i/>
          <w:sz w:val="20"/>
          <w:szCs w:val="20"/>
          <w:lang w:val="fr-FR"/>
        </w:rPr>
      </w:r>
    </w:p>
    <w:p>
      <w:pPr>
        <w:pStyle w:val="Normal"/>
        <w:widowControl w:val="false"/>
        <w:tabs>
          <w:tab w:val="left" w:pos="90" w:leader="none"/>
        </w:tabs>
        <w:jc w:val="both"/>
        <w:rPr>
          <w:sz w:val="20"/>
          <w:szCs w:val="20"/>
          <w:lang w:val="fr-FR"/>
        </w:rPr>
      </w:pPr>
      <w:r>
        <w:rPr>
          <w:b/>
          <w:bCs/>
          <w:i/>
          <w:sz w:val="20"/>
          <w:szCs w:val="20"/>
          <w:lang w:val="fr-FR"/>
        </w:rPr>
        <w:t>SCRS CHAIRMAN</w:t>
      </w:r>
    </w:p>
    <w:p>
      <w:pPr>
        <w:pStyle w:val="Normal"/>
        <w:widowControl w:val="false"/>
        <w:tabs>
          <w:tab w:val="left" w:pos="90" w:leader="none"/>
        </w:tabs>
        <w:jc w:val="both"/>
        <w:rPr>
          <w:b/>
          <w:b/>
          <w:bCs/>
          <w:sz w:val="18"/>
          <w:szCs w:val="18"/>
        </w:rPr>
      </w:pPr>
      <w:r>
        <w:rPr>
          <w:b/>
          <w:bCs/>
          <w:sz w:val="18"/>
          <w:szCs w:val="18"/>
        </w:rPr>
        <w:t xml:space="preserve">Die, </w:t>
      </w:r>
      <w:r>
        <w:rPr>
          <w:bCs/>
          <w:sz w:val="18"/>
          <w:szCs w:val="18"/>
        </w:rPr>
        <w:t>David</w:t>
      </w:r>
    </w:p>
    <w:p>
      <w:pPr>
        <w:pStyle w:val="Normal"/>
        <w:widowControl w:val="false"/>
        <w:tabs>
          <w:tab w:val="left" w:pos="90" w:leader="none"/>
        </w:tabs>
        <w:jc w:val="both"/>
        <w:rPr>
          <w:sz w:val="18"/>
          <w:szCs w:val="18"/>
        </w:rPr>
      </w:pPr>
      <w:r>
        <w:rPr>
          <w:sz w:val="18"/>
          <w:szCs w:val="18"/>
        </w:rPr>
        <w:t>SCRS Chairman, Cooperative Institute of Marine and Atmospheric Studies, University of Miami, 4600 Rickenbacker Causeway, Miami Florida 33149, United States</w:t>
      </w:r>
    </w:p>
    <w:p>
      <w:pPr>
        <w:pStyle w:val="Normal"/>
        <w:widowControl w:val="false"/>
        <w:tabs>
          <w:tab w:val="left" w:pos="90" w:leader="none"/>
        </w:tabs>
        <w:jc w:val="both"/>
        <w:rPr>
          <w:sz w:val="20"/>
          <w:szCs w:val="20"/>
          <w:lang w:val="es-ES"/>
        </w:rPr>
      </w:pPr>
      <w:r>
        <w:rPr>
          <w:sz w:val="18"/>
          <w:szCs w:val="18"/>
          <w:lang w:val="es-ES"/>
        </w:rPr>
        <w:t>Tel: +1 305 421 4607, Fax: +1 305 421 4221, E-Mail: ddie@rsmas.miami.edu</w:t>
      </w:r>
    </w:p>
    <w:p>
      <w:pPr>
        <w:pStyle w:val="Normal"/>
        <w:widowControl w:val="false"/>
        <w:tabs>
          <w:tab w:val="left" w:pos="90" w:leader="none"/>
        </w:tabs>
        <w:jc w:val="both"/>
        <w:rPr>
          <w:b/>
          <w:b/>
          <w:sz w:val="20"/>
          <w:szCs w:val="20"/>
          <w:lang w:val="es-ES"/>
        </w:rPr>
      </w:pPr>
      <w:r>
        <w:rPr>
          <w:b/>
          <w:sz w:val="20"/>
          <w:szCs w:val="20"/>
          <w:lang w:val="es-ES"/>
        </w:rPr>
      </w:r>
    </w:p>
    <w:p>
      <w:pPr>
        <w:pStyle w:val="Normal"/>
        <w:widowControl w:val="false"/>
        <w:tabs>
          <w:tab w:val="left" w:pos="90" w:leader="none"/>
        </w:tabs>
        <w:jc w:val="both"/>
        <w:rPr>
          <w:b/>
          <w:b/>
          <w:sz w:val="20"/>
          <w:szCs w:val="20"/>
          <w:lang w:val="es-ES"/>
        </w:rPr>
      </w:pPr>
      <w:r>
        <w:rPr>
          <w:b/>
          <w:sz w:val="20"/>
          <w:szCs w:val="20"/>
          <w:lang w:val="es-ES"/>
        </w:rPr>
      </w:r>
    </w:p>
    <w:p>
      <w:pPr>
        <w:pStyle w:val="Normal"/>
        <w:widowControl w:val="false"/>
        <w:tabs>
          <w:tab w:val="left" w:pos="90" w:leader="none"/>
        </w:tabs>
        <w:jc w:val="both"/>
        <w:rPr>
          <w:b/>
          <w:b/>
          <w:sz w:val="20"/>
          <w:szCs w:val="20"/>
          <w:lang w:val="es-ES"/>
        </w:rPr>
      </w:pPr>
      <w:r>
        <w:rPr>
          <w:b/>
          <w:sz w:val="20"/>
          <w:szCs w:val="20"/>
          <w:lang w:val="es-ES"/>
        </w:rPr>
      </w:r>
    </w:p>
    <w:p>
      <w:pPr>
        <w:pStyle w:val="Normal"/>
        <w:widowControl w:val="false"/>
        <w:tabs>
          <w:tab w:val="left" w:pos="90" w:leader="none"/>
        </w:tabs>
        <w:jc w:val="center"/>
        <w:rPr>
          <w:b/>
          <w:b/>
          <w:sz w:val="20"/>
          <w:szCs w:val="20"/>
          <w:lang w:val="es-ES"/>
        </w:rPr>
      </w:pPr>
      <w:r>
        <w:rPr>
          <w:b/>
          <w:sz w:val="20"/>
          <w:szCs w:val="20"/>
          <w:lang w:val="es-ES"/>
        </w:rPr>
        <w:t>*****</w:t>
      </w:r>
    </w:p>
    <w:p>
      <w:pPr>
        <w:pStyle w:val="Normal"/>
        <w:widowControl w:val="false"/>
        <w:tabs>
          <w:tab w:val="left" w:pos="90" w:leader="none"/>
        </w:tabs>
        <w:jc w:val="center"/>
        <w:rPr>
          <w:b/>
          <w:b/>
          <w:bCs/>
          <w:sz w:val="20"/>
          <w:szCs w:val="20"/>
          <w:lang w:val="es-ES"/>
        </w:rPr>
      </w:pPr>
      <w:r>
        <w:rPr>
          <w:b/>
          <w:bCs/>
          <w:sz w:val="20"/>
          <w:szCs w:val="20"/>
          <w:lang w:val="es-ES"/>
        </w:rPr>
      </w:r>
    </w:p>
    <w:p>
      <w:pPr>
        <w:pStyle w:val="Normal"/>
        <w:widowControl w:val="false"/>
        <w:tabs>
          <w:tab w:val="left" w:pos="90" w:leader="none"/>
        </w:tabs>
        <w:jc w:val="center"/>
        <w:rPr>
          <w:b/>
          <w:b/>
          <w:bCs/>
          <w:sz w:val="20"/>
          <w:szCs w:val="20"/>
          <w:lang w:val="es-ES"/>
        </w:rPr>
      </w:pPr>
      <w:r>
        <w:rPr>
          <w:b/>
          <w:bCs/>
          <w:sz w:val="20"/>
          <w:szCs w:val="20"/>
          <w:lang w:val="es-ES"/>
        </w:rPr>
        <w:t>ICCAT Secretariat</w:t>
      </w:r>
    </w:p>
    <w:p>
      <w:pPr>
        <w:pStyle w:val="Normal"/>
        <w:widowControl w:val="false"/>
        <w:tabs>
          <w:tab w:val="left" w:pos="90" w:leader="none"/>
        </w:tabs>
        <w:jc w:val="center"/>
        <w:rPr>
          <w:bCs/>
          <w:sz w:val="20"/>
          <w:szCs w:val="20"/>
          <w:lang w:val="es-ES"/>
        </w:rPr>
      </w:pPr>
      <w:r>
        <w:rPr>
          <w:bCs/>
          <w:sz w:val="20"/>
          <w:szCs w:val="20"/>
          <w:lang w:val="es-ES"/>
        </w:rPr>
        <w:t>C/Corazón de María 8 – 6th floor, 28002 Madrid – Spain</w:t>
      </w:r>
    </w:p>
    <w:p>
      <w:pPr>
        <w:pStyle w:val="Normal"/>
        <w:widowControl w:val="false"/>
        <w:tabs>
          <w:tab w:val="left" w:pos="90" w:leader="none"/>
        </w:tabs>
        <w:jc w:val="center"/>
        <w:rPr>
          <w:bCs/>
          <w:sz w:val="20"/>
          <w:szCs w:val="20"/>
          <w:lang w:val="fr-BE"/>
        </w:rPr>
      </w:pPr>
      <w:r>
        <w:rPr>
          <w:bCs/>
          <w:sz w:val="20"/>
          <w:szCs w:val="20"/>
          <w:lang w:val="fr-BE"/>
        </w:rPr>
        <w:t>Tel: +34 91 416 56 00; Fax: +34 91 415 26 12; E-mail: info@iccat.int</w:t>
      </w:r>
    </w:p>
    <w:p>
      <w:pPr>
        <w:pStyle w:val="Normal"/>
        <w:widowControl w:val="false"/>
        <w:tabs>
          <w:tab w:val="left" w:pos="90" w:leader="none"/>
        </w:tabs>
        <w:jc w:val="center"/>
        <w:rPr>
          <w:b/>
          <w:b/>
          <w:bCs/>
          <w:sz w:val="20"/>
          <w:szCs w:val="20"/>
          <w:lang w:val="fr-BE"/>
        </w:rPr>
      </w:pPr>
      <w:r>
        <w:rPr>
          <w:b/>
          <w:bCs/>
          <w:sz w:val="20"/>
          <w:szCs w:val="20"/>
          <w:lang w:val="fr-BE"/>
        </w:rPr>
      </w:r>
    </w:p>
    <w:p>
      <w:pPr>
        <w:pStyle w:val="Normal"/>
        <w:widowControl w:val="false"/>
        <w:tabs>
          <w:tab w:val="left" w:pos="90" w:leader="none"/>
        </w:tabs>
        <w:jc w:val="both"/>
        <w:rPr>
          <w:b/>
          <w:b/>
          <w:bCs/>
          <w:sz w:val="20"/>
          <w:szCs w:val="20"/>
          <w:lang w:val="fr-BE"/>
        </w:rPr>
      </w:pPr>
      <w:r>
        <w:rPr>
          <w:b/>
          <w:bCs/>
          <w:sz w:val="20"/>
          <w:szCs w:val="20"/>
          <w:lang w:val="fr-BE"/>
        </w:rPr>
      </w:r>
    </w:p>
    <w:p>
      <w:pPr>
        <w:pStyle w:val="Normal"/>
        <w:widowControl w:val="false"/>
        <w:tabs>
          <w:tab w:val="left" w:pos="90" w:leader="none"/>
        </w:tabs>
        <w:jc w:val="both"/>
        <w:rPr>
          <w:b/>
          <w:b/>
          <w:bCs/>
          <w:sz w:val="23"/>
          <w:szCs w:val="23"/>
          <w:lang w:val="fr-BE"/>
        </w:rPr>
      </w:pPr>
      <w:r>
        <w:rPr>
          <w:b/>
          <w:bCs/>
          <w:sz w:val="18"/>
          <w:szCs w:val="18"/>
          <w:lang w:val="fr-BE"/>
        </w:rPr>
        <w:t xml:space="preserve">Meski, </w:t>
      </w:r>
      <w:r>
        <w:rPr>
          <w:bCs/>
          <w:sz w:val="18"/>
          <w:szCs w:val="18"/>
          <w:lang w:val="fr-BE"/>
        </w:rPr>
        <w:t>Driss</w:t>
      </w:r>
    </w:p>
    <w:p>
      <w:pPr>
        <w:pStyle w:val="Normal"/>
        <w:widowControl w:val="false"/>
        <w:tabs>
          <w:tab w:val="left" w:pos="90" w:leader="none"/>
        </w:tabs>
        <w:jc w:val="both"/>
        <w:rPr>
          <w:b/>
          <w:b/>
          <w:bCs/>
          <w:sz w:val="23"/>
          <w:szCs w:val="23"/>
          <w:lang w:val="fr-BE"/>
        </w:rPr>
      </w:pPr>
      <w:r>
        <w:rPr>
          <w:b/>
          <w:bCs/>
          <w:sz w:val="18"/>
          <w:szCs w:val="18"/>
          <w:lang w:val="fr-BE"/>
        </w:rPr>
        <w:t xml:space="preserve">De Bruyn, </w:t>
      </w:r>
      <w:r>
        <w:rPr>
          <w:bCs/>
          <w:sz w:val="18"/>
          <w:szCs w:val="18"/>
          <w:lang w:val="fr-BE"/>
        </w:rPr>
        <w:t>Paul</w:t>
      </w:r>
    </w:p>
    <w:p>
      <w:pPr>
        <w:pStyle w:val="Normal"/>
        <w:widowControl w:val="false"/>
        <w:tabs>
          <w:tab w:val="left" w:pos="90" w:leader="none"/>
        </w:tabs>
        <w:jc w:val="both"/>
        <w:rPr>
          <w:b/>
          <w:b/>
          <w:bCs/>
          <w:sz w:val="20"/>
          <w:szCs w:val="20"/>
          <w:lang w:val="fr-BE"/>
        </w:rPr>
      </w:pPr>
      <w:r>
        <w:rPr>
          <w:b/>
          <w:bCs/>
          <w:sz w:val="18"/>
          <w:szCs w:val="18"/>
          <w:lang w:val="fr-BE"/>
        </w:rPr>
        <w:t xml:space="preserve">Idrissi, </w:t>
      </w:r>
      <w:r>
        <w:rPr>
          <w:bCs/>
          <w:sz w:val="18"/>
          <w:szCs w:val="18"/>
          <w:lang w:val="fr-BE"/>
        </w:rPr>
        <w:t>M'Hamed</w:t>
      </w:r>
    </w:p>
    <w:p>
      <w:pPr>
        <w:pStyle w:val="Normal"/>
        <w:widowControl w:val="false"/>
        <w:tabs>
          <w:tab w:val="left" w:pos="90" w:leader="none"/>
        </w:tabs>
        <w:jc w:val="both"/>
        <w:rPr>
          <w:b/>
          <w:b/>
          <w:bCs/>
          <w:sz w:val="23"/>
          <w:szCs w:val="23"/>
          <w:lang w:val="es-ES"/>
        </w:rPr>
      </w:pPr>
      <w:r>
        <w:rPr>
          <w:b/>
          <w:bCs/>
          <w:sz w:val="18"/>
          <w:szCs w:val="18"/>
          <w:lang w:val="es-ES"/>
        </w:rPr>
        <w:t xml:space="preserve">Campoy, </w:t>
      </w:r>
      <w:r>
        <w:rPr>
          <w:bCs/>
          <w:sz w:val="18"/>
          <w:szCs w:val="18"/>
          <w:lang w:val="es-ES"/>
        </w:rPr>
        <w:t>Rebecca</w:t>
      </w:r>
    </w:p>
    <w:p>
      <w:pPr>
        <w:pStyle w:val="Normal"/>
        <w:widowControl w:val="false"/>
        <w:tabs>
          <w:tab w:val="left" w:pos="90" w:leader="none"/>
        </w:tabs>
        <w:jc w:val="both"/>
        <w:rPr>
          <w:b/>
          <w:b/>
          <w:bCs/>
          <w:sz w:val="23"/>
          <w:szCs w:val="23"/>
          <w:lang w:val="es-ES"/>
        </w:rPr>
      </w:pPr>
      <w:r>
        <w:rPr>
          <w:b/>
          <w:bCs/>
          <w:sz w:val="18"/>
          <w:szCs w:val="18"/>
          <w:lang w:val="es-ES"/>
        </w:rPr>
        <w:t xml:space="preserve">García-Orad, </w:t>
      </w:r>
      <w:r>
        <w:rPr>
          <w:bCs/>
          <w:sz w:val="18"/>
          <w:szCs w:val="18"/>
          <w:lang w:val="es-ES"/>
        </w:rPr>
        <w:t>María José</w:t>
      </w:r>
    </w:p>
    <w:p>
      <w:pPr>
        <w:pStyle w:val="Normal"/>
        <w:widowControl w:val="false"/>
        <w:tabs>
          <w:tab w:val="left" w:pos="90" w:leader="none"/>
        </w:tabs>
        <w:jc w:val="both"/>
        <w:rPr>
          <w:b/>
          <w:b/>
          <w:bCs/>
          <w:sz w:val="23"/>
          <w:szCs w:val="23"/>
          <w:lang w:val="fr-FR"/>
        </w:rPr>
      </w:pPr>
      <w:r>
        <w:rPr>
          <w:b/>
          <w:bCs/>
          <w:sz w:val="18"/>
          <w:szCs w:val="18"/>
          <w:lang w:val="fr-FR"/>
        </w:rPr>
        <w:t xml:space="preserve">Pinet, </w:t>
      </w:r>
      <w:r>
        <w:rPr>
          <w:bCs/>
          <w:sz w:val="18"/>
          <w:szCs w:val="18"/>
          <w:lang w:val="fr-FR"/>
        </w:rPr>
        <w:t>Dorothée</w:t>
      </w:r>
    </w:p>
    <w:p>
      <w:pPr>
        <w:pStyle w:val="Normal"/>
        <w:widowControl w:val="false"/>
        <w:tabs>
          <w:tab w:val="left" w:pos="90" w:leader="none"/>
        </w:tabs>
        <w:jc w:val="both"/>
        <w:rPr>
          <w:b/>
          <w:b/>
          <w:bCs/>
          <w:sz w:val="20"/>
          <w:szCs w:val="20"/>
          <w:lang w:val="fr-FR"/>
        </w:rPr>
      </w:pPr>
      <w:r>
        <w:rPr>
          <w:b/>
          <w:bCs/>
          <w:sz w:val="20"/>
          <w:szCs w:val="20"/>
          <w:lang w:val="fr-FR"/>
        </w:rPr>
      </w:r>
    </w:p>
    <w:p>
      <w:pPr>
        <w:pStyle w:val="Normal"/>
        <w:widowControl w:val="false"/>
        <w:tabs>
          <w:tab w:val="left" w:pos="90" w:leader="none"/>
        </w:tabs>
        <w:jc w:val="both"/>
        <w:rPr>
          <w:b/>
          <w:b/>
          <w:bCs/>
          <w:sz w:val="25"/>
          <w:szCs w:val="25"/>
          <w:lang w:val="fr-FR"/>
        </w:rPr>
      </w:pPr>
      <w:r>
        <w:rPr>
          <w:b/>
          <w:bCs/>
          <w:sz w:val="20"/>
          <w:szCs w:val="20"/>
          <w:lang w:val="fr-FR"/>
        </w:rPr>
        <w:t>ICCAT INTERPRETERS</w:t>
      </w:r>
    </w:p>
    <w:p>
      <w:pPr>
        <w:pStyle w:val="Normal"/>
        <w:widowControl w:val="false"/>
        <w:tabs>
          <w:tab w:val="left" w:pos="90" w:leader="none"/>
        </w:tabs>
        <w:jc w:val="both"/>
        <w:rPr>
          <w:b/>
          <w:b/>
          <w:bCs/>
          <w:sz w:val="23"/>
          <w:szCs w:val="23"/>
          <w:lang w:val="fr-FR"/>
        </w:rPr>
      </w:pPr>
      <w:r>
        <w:rPr>
          <w:b/>
          <w:bCs/>
          <w:sz w:val="18"/>
          <w:szCs w:val="18"/>
          <w:lang w:val="fr-FR"/>
        </w:rPr>
        <w:t xml:space="preserve">Baena Jiménez, </w:t>
      </w:r>
      <w:r>
        <w:rPr>
          <w:bCs/>
          <w:sz w:val="18"/>
          <w:szCs w:val="18"/>
          <w:lang w:val="fr-FR"/>
        </w:rPr>
        <w:t>Eva J.</w:t>
      </w:r>
    </w:p>
    <w:p>
      <w:pPr>
        <w:pStyle w:val="Normal"/>
        <w:widowControl w:val="false"/>
        <w:tabs>
          <w:tab w:val="left" w:pos="90" w:leader="none"/>
        </w:tabs>
        <w:jc w:val="both"/>
        <w:rPr>
          <w:b/>
          <w:b/>
          <w:bCs/>
          <w:sz w:val="23"/>
          <w:szCs w:val="23"/>
          <w:lang w:val="fr-FR"/>
        </w:rPr>
      </w:pPr>
      <w:r>
        <w:rPr>
          <w:b/>
          <w:bCs/>
          <w:sz w:val="18"/>
          <w:szCs w:val="18"/>
          <w:lang w:val="fr-FR"/>
        </w:rPr>
        <w:t xml:space="preserve">Faillace, </w:t>
      </w:r>
      <w:r>
        <w:rPr>
          <w:bCs/>
          <w:sz w:val="18"/>
          <w:szCs w:val="18"/>
          <w:lang w:val="fr-FR"/>
        </w:rPr>
        <w:t>Linda</w:t>
      </w:r>
    </w:p>
    <w:p>
      <w:pPr>
        <w:pStyle w:val="Normal"/>
        <w:widowControl w:val="false"/>
        <w:tabs>
          <w:tab w:val="left" w:pos="90" w:leader="none"/>
        </w:tabs>
        <w:jc w:val="both"/>
        <w:rPr>
          <w:b/>
          <w:b/>
          <w:bCs/>
          <w:sz w:val="23"/>
          <w:szCs w:val="23"/>
          <w:lang w:val="fr-FR"/>
        </w:rPr>
      </w:pPr>
      <w:r>
        <w:rPr>
          <w:b/>
          <w:bCs/>
          <w:sz w:val="18"/>
          <w:szCs w:val="18"/>
          <w:lang w:val="fr-FR"/>
        </w:rPr>
        <w:t xml:space="preserve">Liberas, </w:t>
      </w:r>
      <w:r>
        <w:rPr>
          <w:bCs/>
          <w:sz w:val="18"/>
          <w:szCs w:val="18"/>
          <w:lang w:val="fr-FR"/>
        </w:rPr>
        <w:t>Christine</w:t>
      </w:r>
    </w:p>
    <w:p>
      <w:pPr>
        <w:pStyle w:val="Normal"/>
        <w:widowControl w:val="false"/>
        <w:tabs>
          <w:tab w:val="left" w:pos="90" w:leader="none"/>
        </w:tabs>
        <w:jc w:val="both"/>
        <w:rPr>
          <w:b/>
          <w:b/>
          <w:bCs/>
          <w:sz w:val="23"/>
          <w:szCs w:val="23"/>
          <w:lang w:val="fr-FR"/>
        </w:rPr>
      </w:pPr>
      <w:r>
        <w:rPr>
          <w:b/>
          <w:bCs/>
          <w:sz w:val="18"/>
          <w:szCs w:val="18"/>
          <w:lang w:val="fr-FR"/>
        </w:rPr>
        <w:t xml:space="preserve">Meunier, </w:t>
      </w:r>
      <w:r>
        <w:rPr>
          <w:bCs/>
          <w:sz w:val="18"/>
          <w:szCs w:val="18"/>
          <w:lang w:val="fr-FR"/>
        </w:rPr>
        <w:t>Isabelle</w:t>
      </w:r>
    </w:p>
    <w:p>
      <w:pPr>
        <w:pStyle w:val="Normal"/>
        <w:widowControl w:val="false"/>
        <w:tabs>
          <w:tab w:val="left" w:pos="90" w:leader="none"/>
        </w:tabs>
        <w:jc w:val="both"/>
        <w:rPr>
          <w:b/>
          <w:b/>
          <w:bCs/>
          <w:sz w:val="23"/>
          <w:szCs w:val="23"/>
          <w:lang w:val="es-ES"/>
        </w:rPr>
      </w:pPr>
      <w:r>
        <w:rPr>
          <w:b/>
          <w:bCs/>
          <w:sz w:val="18"/>
          <w:szCs w:val="18"/>
          <w:lang w:val="es-ES"/>
        </w:rPr>
        <w:t xml:space="preserve">Sánchez del Villar, </w:t>
      </w:r>
      <w:r>
        <w:rPr>
          <w:bCs/>
          <w:sz w:val="18"/>
          <w:szCs w:val="18"/>
          <w:lang w:val="es-ES"/>
        </w:rPr>
        <w:t>Lucía</w:t>
      </w:r>
    </w:p>
    <w:p>
      <w:pPr>
        <w:pStyle w:val="Normal"/>
        <w:widowControl w:val="false"/>
        <w:tabs>
          <w:tab w:val="left" w:pos="90" w:leader="none"/>
        </w:tabs>
        <w:jc w:val="both"/>
        <w:rPr>
          <w:b/>
          <w:b/>
          <w:bCs/>
          <w:sz w:val="23"/>
          <w:szCs w:val="23"/>
        </w:rPr>
      </w:pPr>
      <w:r>
        <w:rPr>
          <w:b/>
          <w:bCs/>
          <w:sz w:val="18"/>
          <w:szCs w:val="18"/>
        </w:rPr>
        <w:t xml:space="preserve">Tedjini Roemmele, </w:t>
      </w:r>
      <w:r>
        <w:rPr>
          <w:bCs/>
          <w:sz w:val="18"/>
          <w:szCs w:val="18"/>
        </w:rPr>
        <w:t>Claire</w:t>
      </w:r>
    </w:p>
    <w:p>
      <w:pPr>
        <w:pStyle w:val="Normal"/>
        <w:widowControl w:val="false"/>
        <w:tabs>
          <w:tab w:val="left" w:pos="90" w:leader="none"/>
        </w:tabs>
        <w:jc w:val="both"/>
        <w:rPr>
          <w:sz w:val="23"/>
          <w:szCs w:val="23"/>
        </w:rPr>
      </w:pPr>
      <w:r>
        <w:rPr>
          <w:sz w:val="23"/>
          <w:szCs w:val="23"/>
        </w:rPr>
      </w:r>
    </w:p>
    <w:p>
      <w:pPr>
        <w:pStyle w:val="Normal"/>
        <w:jc w:val="both"/>
        <w:rPr>
          <w:sz w:val="20"/>
          <w:szCs w:val="20"/>
        </w:rPr>
      </w:pPr>
      <w:r>
        <w:rPr>
          <w:sz w:val="20"/>
          <w:szCs w:val="20"/>
        </w:rPr>
      </w:r>
    </w:p>
    <w:p>
      <w:pPr>
        <w:pStyle w:val="Normal"/>
        <w:rPr>
          <w:sz w:val="20"/>
          <w:szCs w:val="20"/>
          <w:lang w:eastAsia="ja-JP"/>
        </w:rPr>
      </w:pPr>
      <w:r>
        <w:rPr>
          <w:sz w:val="20"/>
          <w:szCs w:val="20"/>
          <w:lang w:eastAsia="ja-JP"/>
        </w:rPr>
      </w:r>
      <w:r>
        <w:br w:type="page"/>
      </w:r>
    </w:p>
    <w:p>
      <w:pPr>
        <w:pStyle w:val="Normal"/>
        <w:jc w:val="right"/>
        <w:rPr>
          <w:b/>
          <w:b/>
          <w:sz w:val="20"/>
          <w:szCs w:val="20"/>
          <w:lang w:eastAsia="ja-JP"/>
        </w:rPr>
      </w:pPr>
      <w:r>
        <w:rPr>
          <w:b/>
          <w:sz w:val="20"/>
          <w:szCs w:val="20"/>
          <w:lang w:eastAsia="ja-JP"/>
        </w:rPr>
        <w:t>Appendix 3</w:t>
      </w:r>
    </w:p>
    <w:p>
      <w:pPr>
        <w:pStyle w:val="Normal"/>
        <w:jc w:val="right"/>
        <w:rPr>
          <w:b/>
          <w:b/>
          <w:sz w:val="20"/>
          <w:szCs w:val="20"/>
          <w:lang w:eastAsia="ja-JP"/>
        </w:rPr>
      </w:pPr>
      <w:r>
        <w:rPr>
          <w:b/>
          <w:sz w:val="20"/>
          <w:szCs w:val="20"/>
          <w:lang w:eastAsia="ja-JP"/>
        </w:rPr>
      </w:r>
    </w:p>
    <w:p>
      <w:pPr>
        <w:pStyle w:val="Normal"/>
        <w:numPr>
          <w:ilvl w:val="0"/>
          <w:numId w:val="0"/>
        </w:numPr>
        <w:tabs>
          <w:tab w:val="left" w:pos="7938" w:leader="none"/>
        </w:tabs>
        <w:jc w:val="center"/>
        <w:outlineLvl w:val="0"/>
        <w:rPr>
          <w:rFonts w:ascii="Cambria" w:hAnsi="Cambria"/>
          <w:b/>
          <w:b/>
          <w:sz w:val="20"/>
          <w:szCs w:val="20"/>
        </w:rPr>
      </w:pPr>
      <w:r>
        <w:rPr>
          <w:b/>
          <w:sz w:val="20"/>
          <w:szCs w:val="20"/>
          <w:u w:val="single"/>
        </w:rPr>
        <w:t xml:space="preserve">Draft </w:t>
      </w:r>
      <w:r>
        <w:rPr>
          <w:b/>
          <w:sz w:val="20"/>
          <w:szCs w:val="20"/>
        </w:rPr>
        <w:t xml:space="preserve">recommendation by ICCAT to establish harvest </w:t>
      </w:r>
    </w:p>
    <w:p>
      <w:pPr>
        <w:pStyle w:val="Normal"/>
        <w:numPr>
          <w:ilvl w:val="0"/>
          <w:numId w:val="0"/>
        </w:numPr>
        <w:tabs>
          <w:tab w:val="left" w:pos="7938" w:leader="none"/>
        </w:tabs>
        <w:jc w:val="center"/>
        <w:outlineLvl w:val="0"/>
        <w:rPr>
          <w:rFonts w:ascii="Cambria" w:hAnsi="Cambria"/>
          <w:b/>
          <w:b/>
          <w:sz w:val="20"/>
          <w:szCs w:val="20"/>
        </w:rPr>
      </w:pPr>
      <w:r>
        <w:rPr>
          <w:b/>
          <w:sz w:val="20"/>
          <w:szCs w:val="20"/>
        </w:rPr>
        <w:t xml:space="preserve">Control rules for the north Atlantic albacore stock </w:t>
      </w:r>
    </w:p>
    <w:p>
      <w:pPr>
        <w:pStyle w:val="Normal"/>
        <w:tabs>
          <w:tab w:val="left" w:pos="8505" w:leader="none"/>
        </w:tabs>
        <w:jc w:val="center"/>
        <w:rPr>
          <w:rFonts w:ascii="Cambria" w:hAnsi="Cambria"/>
          <w:sz w:val="20"/>
          <w:szCs w:val="20"/>
        </w:rPr>
      </w:pPr>
      <w:r>
        <w:rPr>
          <w:sz w:val="20"/>
          <w:szCs w:val="20"/>
        </w:rPr>
      </w:r>
    </w:p>
    <w:p>
      <w:pPr>
        <w:pStyle w:val="Normal"/>
        <w:numPr>
          <w:ilvl w:val="0"/>
          <w:numId w:val="0"/>
        </w:numPr>
        <w:jc w:val="center"/>
        <w:outlineLvl w:val="0"/>
        <w:rPr>
          <w:rFonts w:ascii="Cambria" w:hAnsi="Cambria"/>
          <w:i/>
          <w:i/>
          <w:sz w:val="20"/>
          <w:szCs w:val="20"/>
        </w:rPr>
      </w:pPr>
      <w:r>
        <w:rPr>
          <w:i/>
          <w:sz w:val="20"/>
          <w:szCs w:val="20"/>
        </w:rPr>
        <w:t>(Proposal by the European Union)</w:t>
      </w:r>
    </w:p>
    <w:p>
      <w:pPr>
        <w:pStyle w:val="Normal"/>
        <w:numPr>
          <w:ilvl w:val="0"/>
          <w:numId w:val="0"/>
        </w:numPr>
        <w:jc w:val="center"/>
        <w:outlineLvl w:val="0"/>
        <w:rPr>
          <w:rFonts w:ascii="Cambria" w:hAnsi="Cambria"/>
          <w:b/>
          <w:b/>
          <w:sz w:val="20"/>
          <w:szCs w:val="20"/>
        </w:rPr>
      </w:pPr>
      <w:r>
        <w:rPr>
          <w:b/>
          <w:sz w:val="20"/>
          <w:szCs w:val="20"/>
        </w:rPr>
      </w:r>
    </w:p>
    <w:p>
      <w:pPr>
        <w:pStyle w:val="Normal"/>
        <w:tabs>
          <w:tab w:val="left" w:pos="426" w:leader="none"/>
        </w:tabs>
        <w:jc w:val="both"/>
        <w:rPr>
          <w:rFonts w:ascii="Cambria" w:hAnsi="Cambria"/>
          <w:color w:val="000000"/>
          <w:sz w:val="20"/>
          <w:szCs w:val="20"/>
        </w:rPr>
      </w:pPr>
      <w:r>
        <w:rPr>
          <w:i/>
          <w:sz w:val="20"/>
          <w:szCs w:val="20"/>
        </w:rPr>
        <w:tab/>
      </w:r>
      <w:r>
        <w:rPr>
          <w:i/>
          <w:color w:val="000000"/>
          <w:sz w:val="20"/>
          <w:szCs w:val="20"/>
        </w:rPr>
        <w:t xml:space="preserve">RECALLING </w:t>
      </w:r>
      <w:r>
        <w:rPr>
          <w:color w:val="000000"/>
          <w:sz w:val="20"/>
          <w:szCs w:val="20"/>
        </w:rPr>
        <w:t xml:space="preserve">the </w:t>
      </w:r>
      <w:r>
        <w:rPr>
          <w:i/>
          <w:color w:val="000000"/>
          <w:sz w:val="20"/>
          <w:szCs w:val="20"/>
        </w:rPr>
        <w:t>Supplemental Recommendation by ICCAT concerning the North Atlantic Albacore Rebuilding Program</w:t>
      </w:r>
      <w:r>
        <w:rPr>
          <w:color w:val="000000"/>
          <w:sz w:val="20"/>
          <w:szCs w:val="20"/>
        </w:rPr>
        <w:t xml:space="preserve"> [Rec.13-05];</w:t>
      </w:r>
    </w:p>
    <w:p>
      <w:pPr>
        <w:pStyle w:val="Normal"/>
        <w:tabs>
          <w:tab w:val="left" w:pos="426" w:leader="none"/>
        </w:tabs>
        <w:jc w:val="both"/>
        <w:rPr>
          <w:rFonts w:ascii="Cambria" w:hAnsi="Cambria"/>
          <w:i/>
          <w:i/>
          <w:color w:val="000000"/>
          <w:sz w:val="20"/>
          <w:szCs w:val="20"/>
        </w:rPr>
      </w:pPr>
      <w:r>
        <w:rPr>
          <w:i/>
          <w:color w:val="000000"/>
          <w:sz w:val="20"/>
          <w:szCs w:val="20"/>
        </w:rPr>
      </w:r>
    </w:p>
    <w:p>
      <w:pPr>
        <w:pStyle w:val="Normal"/>
        <w:tabs>
          <w:tab w:val="left" w:pos="426" w:leader="none"/>
        </w:tabs>
        <w:jc w:val="both"/>
        <w:rPr>
          <w:rFonts w:ascii="Cambria" w:hAnsi="Cambria"/>
          <w:color w:val="000000"/>
          <w:sz w:val="20"/>
          <w:szCs w:val="20"/>
        </w:rPr>
      </w:pPr>
      <w:r>
        <w:rPr>
          <w:i/>
          <w:color w:val="000000"/>
          <w:sz w:val="20"/>
          <w:szCs w:val="20"/>
        </w:rPr>
        <w:tab/>
        <w:t>NOTING</w:t>
      </w:r>
      <w:r>
        <w:rPr>
          <w:color w:val="000000"/>
          <w:sz w:val="20"/>
          <w:szCs w:val="20"/>
        </w:rPr>
        <w:t xml:space="preserve"> that the objective of the Convention is to maintain populations at levels that will support maximum sustainable catch (usually referred to as MSY);</w:t>
      </w:r>
    </w:p>
    <w:p>
      <w:pPr>
        <w:pStyle w:val="Normal"/>
        <w:tabs>
          <w:tab w:val="left" w:pos="426" w:leader="none"/>
        </w:tabs>
        <w:jc w:val="both"/>
        <w:rPr>
          <w:rFonts w:ascii="Cambria" w:hAnsi="Cambria"/>
          <w:color w:val="000000"/>
          <w:sz w:val="20"/>
          <w:szCs w:val="20"/>
        </w:rPr>
      </w:pPr>
      <w:r>
        <w:rPr>
          <w:color w:val="000000"/>
          <w:sz w:val="20"/>
          <w:szCs w:val="20"/>
        </w:rPr>
      </w:r>
    </w:p>
    <w:p>
      <w:pPr>
        <w:pStyle w:val="Normal"/>
        <w:tabs>
          <w:tab w:val="left" w:pos="426" w:leader="none"/>
        </w:tabs>
        <w:jc w:val="both"/>
        <w:rPr>
          <w:rFonts w:ascii="Cambria" w:hAnsi="Cambria"/>
          <w:color w:val="000000"/>
          <w:sz w:val="20"/>
          <w:szCs w:val="20"/>
        </w:rPr>
      </w:pPr>
      <w:r>
        <w:rPr>
          <w:color w:val="000000"/>
          <w:sz w:val="20"/>
          <w:szCs w:val="20"/>
        </w:rPr>
        <w:tab/>
        <w:t>[…]</w:t>
      </w:r>
    </w:p>
    <w:p>
      <w:pPr>
        <w:pStyle w:val="Normal"/>
        <w:tabs>
          <w:tab w:val="left" w:pos="426" w:leader="none"/>
        </w:tabs>
        <w:jc w:val="both"/>
        <w:rPr>
          <w:rFonts w:ascii="Cambria" w:hAnsi="Cambria"/>
          <w:strike/>
          <w:color w:val="000000"/>
          <w:sz w:val="20"/>
          <w:szCs w:val="20"/>
        </w:rPr>
      </w:pPr>
      <w:r>
        <w:rPr>
          <w:strike/>
          <w:color w:val="000000"/>
          <w:sz w:val="20"/>
          <w:szCs w:val="20"/>
        </w:rPr>
      </w:r>
    </w:p>
    <w:p>
      <w:pPr>
        <w:pStyle w:val="Normal"/>
        <w:tabs>
          <w:tab w:val="left" w:pos="426" w:leader="none"/>
        </w:tabs>
        <w:jc w:val="both"/>
        <w:rPr>
          <w:rFonts w:ascii="Cambria" w:hAnsi="Cambria"/>
          <w:color w:val="000000"/>
          <w:sz w:val="20"/>
          <w:szCs w:val="20"/>
        </w:rPr>
      </w:pPr>
      <w:r>
        <w:rPr>
          <w:color w:val="000000"/>
          <w:sz w:val="20"/>
          <w:szCs w:val="20"/>
        </w:rPr>
        <w:tab/>
      </w:r>
      <w:r>
        <w:rPr>
          <w:i/>
          <w:color w:val="000000"/>
          <w:sz w:val="20"/>
          <w:szCs w:val="20"/>
        </w:rPr>
        <w:t>CONSIDERING</w:t>
      </w:r>
      <w:r>
        <w:rPr>
          <w:color w:val="000000"/>
          <w:sz w:val="20"/>
          <w:szCs w:val="20"/>
        </w:rPr>
        <w:t xml:space="preserve"> that the Standing Working Group to Enhance Dialogue between Fisheries Scientists and Managers (SWGSM) has proposed, among other case studies, the northern albacore stock as a suitable candidate to examine harvest control rules;</w:t>
      </w:r>
    </w:p>
    <w:p>
      <w:pPr>
        <w:pStyle w:val="Normal"/>
        <w:tabs>
          <w:tab w:val="left" w:pos="426" w:leader="none"/>
        </w:tabs>
        <w:jc w:val="both"/>
        <w:rPr>
          <w:rFonts w:ascii="Cambria" w:hAnsi="Cambria"/>
          <w:color w:val="000000"/>
          <w:sz w:val="20"/>
          <w:szCs w:val="20"/>
        </w:rPr>
      </w:pPr>
      <w:r>
        <w:rPr>
          <w:color w:val="000000"/>
          <w:sz w:val="20"/>
          <w:szCs w:val="20"/>
        </w:rPr>
      </w:r>
    </w:p>
    <w:p>
      <w:pPr>
        <w:pStyle w:val="Normal"/>
        <w:tabs>
          <w:tab w:val="left" w:pos="426" w:leader="none"/>
        </w:tabs>
        <w:jc w:val="both"/>
        <w:rPr>
          <w:rFonts w:ascii="Cambria" w:hAnsi="Cambria"/>
          <w:color w:val="000000"/>
          <w:sz w:val="20"/>
          <w:szCs w:val="20"/>
          <w:u w:val="single"/>
        </w:rPr>
      </w:pPr>
      <w:r>
        <w:rPr>
          <w:color w:val="000000"/>
          <w:sz w:val="20"/>
          <w:szCs w:val="20"/>
        </w:rPr>
        <w:tab/>
      </w:r>
      <w:r>
        <w:rPr>
          <w:i/>
          <w:color w:val="000000"/>
          <w:sz w:val="20"/>
          <w:szCs w:val="20"/>
          <w:u w:val="single"/>
        </w:rPr>
        <w:t>CONSIDERING</w:t>
      </w:r>
      <w:r>
        <w:rPr>
          <w:color w:val="000000"/>
          <w:sz w:val="20"/>
          <w:szCs w:val="20"/>
          <w:u w:val="single"/>
        </w:rPr>
        <w:t xml:space="preserve"> the outcomes the 2016 Standing Committee on Research and Statistics (SCRS) stock assessment concluded that the northern albacore stock…[to be completed after SCRS meeting];</w:t>
      </w:r>
    </w:p>
    <w:p>
      <w:pPr>
        <w:pStyle w:val="Normal"/>
        <w:tabs>
          <w:tab w:val="left" w:pos="426" w:leader="none"/>
        </w:tabs>
        <w:jc w:val="both"/>
        <w:rPr>
          <w:rFonts w:ascii="Cambria" w:hAnsi="Cambria"/>
          <w:color w:val="000000"/>
          <w:sz w:val="20"/>
          <w:szCs w:val="20"/>
        </w:rPr>
      </w:pPr>
      <w:r>
        <w:rPr>
          <w:color w:val="000000"/>
          <w:sz w:val="20"/>
          <w:szCs w:val="20"/>
        </w:rPr>
      </w:r>
    </w:p>
    <w:p>
      <w:pPr>
        <w:pStyle w:val="Normal"/>
        <w:tabs>
          <w:tab w:val="left" w:pos="426" w:leader="none"/>
        </w:tabs>
        <w:jc w:val="both"/>
        <w:rPr>
          <w:rFonts w:ascii="Cambria" w:hAnsi="Cambria"/>
          <w:color w:val="000000"/>
          <w:sz w:val="20"/>
          <w:szCs w:val="20"/>
          <w:u w:val="single"/>
        </w:rPr>
      </w:pPr>
      <w:r>
        <w:rPr>
          <w:color w:val="000000"/>
          <w:sz w:val="20"/>
          <w:szCs w:val="20"/>
        </w:rPr>
        <w:tab/>
      </w:r>
      <w:r>
        <w:rPr>
          <w:i/>
          <w:color w:val="000000"/>
          <w:sz w:val="20"/>
          <w:szCs w:val="20"/>
          <w:u w:val="single"/>
        </w:rPr>
        <w:t>CONSIDERING</w:t>
      </w:r>
      <w:r>
        <w:rPr>
          <w:color w:val="000000"/>
          <w:sz w:val="20"/>
          <w:szCs w:val="20"/>
          <w:u w:val="single"/>
        </w:rPr>
        <w:t xml:space="preserve"> the discussions held at the 2016 intersessional meeting of Panel 2 [to be completed after Panel 2 meeting];</w:t>
      </w:r>
    </w:p>
    <w:p>
      <w:pPr>
        <w:pStyle w:val="Normal"/>
        <w:tabs>
          <w:tab w:val="left" w:pos="426" w:leader="none"/>
        </w:tabs>
        <w:jc w:val="both"/>
        <w:rPr>
          <w:rFonts w:ascii="Cambria" w:hAnsi="Cambria"/>
          <w:color w:val="000000"/>
          <w:sz w:val="20"/>
          <w:szCs w:val="20"/>
        </w:rPr>
      </w:pPr>
      <w:r>
        <w:rPr>
          <w:color w:val="000000"/>
          <w:sz w:val="20"/>
          <w:szCs w:val="20"/>
        </w:rPr>
      </w:r>
    </w:p>
    <w:p>
      <w:pPr>
        <w:pStyle w:val="Normal"/>
        <w:tabs>
          <w:tab w:val="left" w:pos="426" w:leader="none"/>
        </w:tabs>
        <w:jc w:val="both"/>
        <w:rPr>
          <w:rFonts w:ascii="Cambria" w:hAnsi="Cambria"/>
          <w:color w:val="000000"/>
          <w:sz w:val="20"/>
          <w:szCs w:val="20"/>
        </w:rPr>
      </w:pPr>
      <w:r>
        <w:rPr>
          <w:color w:val="000000"/>
          <w:sz w:val="20"/>
          <w:szCs w:val="20"/>
        </w:rPr>
        <w:tab/>
      </w:r>
      <w:r>
        <w:rPr>
          <w:i/>
          <w:color w:val="000000"/>
          <w:sz w:val="20"/>
          <w:szCs w:val="20"/>
        </w:rPr>
        <w:t>NOTING</w:t>
      </w:r>
      <w:r>
        <w:rPr>
          <w:color w:val="000000"/>
          <w:sz w:val="20"/>
          <w:szCs w:val="20"/>
        </w:rPr>
        <w:t xml:space="preserve"> the progress achieved so far by the SCRS in the work for testing harvest control rules and conducting management strategy evaluations for northern albacore and in particular the Kobe II Strategy matrix showing the different levels of probability of being in the green quadrant for different combinations of reference point values;</w:t>
      </w:r>
    </w:p>
    <w:p>
      <w:pPr>
        <w:pStyle w:val="Normal"/>
        <w:tabs>
          <w:tab w:val="left" w:pos="426" w:leader="none"/>
        </w:tabs>
        <w:jc w:val="both"/>
        <w:rPr>
          <w:rFonts w:ascii="Cambria" w:hAnsi="Cambria"/>
          <w:color w:val="000000"/>
          <w:sz w:val="20"/>
          <w:szCs w:val="20"/>
        </w:rPr>
      </w:pPr>
      <w:r>
        <w:rPr>
          <w:color w:val="000000"/>
          <w:sz w:val="20"/>
          <w:szCs w:val="20"/>
        </w:rPr>
      </w:r>
    </w:p>
    <w:p>
      <w:pPr>
        <w:pStyle w:val="Normal"/>
        <w:tabs>
          <w:tab w:val="left" w:pos="426" w:leader="none"/>
        </w:tabs>
        <w:jc w:val="both"/>
        <w:rPr>
          <w:rFonts w:ascii="Cambria" w:hAnsi="Cambria"/>
          <w:color w:val="000000"/>
          <w:sz w:val="20"/>
          <w:szCs w:val="20"/>
        </w:rPr>
      </w:pPr>
      <w:r>
        <w:rPr>
          <w:color w:val="000000"/>
          <w:sz w:val="20"/>
          <w:szCs w:val="20"/>
        </w:rPr>
      </w:r>
    </w:p>
    <w:p>
      <w:pPr>
        <w:pStyle w:val="Normal"/>
        <w:jc w:val="center"/>
        <w:rPr>
          <w:rFonts w:ascii="Cambria" w:hAnsi="Cambria"/>
          <w:color w:val="000000"/>
          <w:sz w:val="20"/>
          <w:szCs w:val="20"/>
        </w:rPr>
      </w:pPr>
      <w:r>
        <w:rPr>
          <w:color w:val="000000"/>
          <w:sz w:val="20"/>
          <w:szCs w:val="20"/>
        </w:rPr>
        <w:t>THE INTERNATIONAL COMMISSION FOR THE CONSERVATION</w:t>
      </w:r>
    </w:p>
    <w:p>
      <w:pPr>
        <w:pStyle w:val="Normal"/>
        <w:jc w:val="center"/>
        <w:rPr>
          <w:rFonts w:ascii="Cambria" w:hAnsi="Cambria"/>
          <w:color w:val="000000"/>
          <w:sz w:val="20"/>
          <w:szCs w:val="20"/>
        </w:rPr>
      </w:pPr>
      <w:r>
        <w:rPr>
          <w:color w:val="000000"/>
          <w:sz w:val="20"/>
          <w:szCs w:val="20"/>
        </w:rPr>
        <w:t>OF ATLANTIC TUNAS (ICCAT) RECOMMENDS THAT:</w:t>
      </w:r>
    </w:p>
    <w:p>
      <w:pPr>
        <w:pStyle w:val="Normal"/>
        <w:tabs>
          <w:tab w:val="left" w:pos="284" w:leader="none"/>
          <w:tab w:val="left" w:pos="567" w:leader="none"/>
        </w:tabs>
        <w:rPr>
          <w:rFonts w:ascii="Cambria" w:hAnsi="Cambria"/>
          <w:color w:val="000000"/>
          <w:sz w:val="20"/>
          <w:szCs w:val="20"/>
        </w:rPr>
      </w:pPr>
      <w:r>
        <w:rPr>
          <w:color w:val="000000"/>
          <w:sz w:val="20"/>
          <w:szCs w:val="20"/>
        </w:rPr>
      </w:r>
    </w:p>
    <w:p>
      <w:pPr>
        <w:pStyle w:val="Normal"/>
        <w:numPr>
          <w:ilvl w:val="0"/>
          <w:numId w:val="4"/>
        </w:numPr>
        <w:jc w:val="both"/>
        <w:rPr>
          <w:rFonts w:ascii="Cambria" w:hAnsi="Cambria" w:eastAsia="Calibri"/>
          <w:color w:val="000000"/>
          <w:sz w:val="20"/>
          <w:szCs w:val="20"/>
          <w:lang w:val="en-GB"/>
        </w:rPr>
      </w:pPr>
      <w:r>
        <w:rPr>
          <w:rFonts w:eastAsia="Calibri"/>
          <w:sz w:val="20"/>
          <w:szCs w:val="20"/>
          <w:lang w:val="en-GB"/>
        </w:rPr>
        <w:t xml:space="preserve">The </w:t>
      </w:r>
      <w:r>
        <w:rPr>
          <w:rFonts w:eastAsia="Calibri"/>
          <w:color w:val="000000"/>
          <w:sz w:val="20"/>
          <w:szCs w:val="20"/>
          <w:lang w:val="en-GB"/>
        </w:rPr>
        <w:t>management objective for northern albacore stock is</w:t>
      </w:r>
    </w:p>
    <w:p>
      <w:pPr>
        <w:pStyle w:val="Normal"/>
        <w:ind w:left="36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jc w:val="both"/>
        <w:rPr>
          <w:rFonts w:ascii="Cambria" w:hAnsi="Cambria" w:eastAsia="Calibri"/>
          <w:color w:val="000000"/>
          <w:sz w:val="20"/>
          <w:szCs w:val="20"/>
          <w:lang w:val="en-GB"/>
        </w:rPr>
      </w:pPr>
      <w:r>
        <w:rPr>
          <w:rFonts w:eastAsia="Calibri"/>
          <w:sz w:val="20"/>
          <w:szCs w:val="20"/>
          <w:lang w:val="en-GB"/>
        </w:rPr>
        <w:t xml:space="preserve">to maintain the stock in the green zone of the Kobe plot, with at least a 60% probability, while maximizing </w:t>
      </w:r>
      <w:r>
        <w:rPr>
          <w:rFonts w:eastAsia="Calibri"/>
          <w:color w:val="000000"/>
          <w:sz w:val="20"/>
          <w:szCs w:val="20"/>
          <w:lang w:val="en-GB"/>
        </w:rPr>
        <w:t>long</w:t>
      </w:r>
      <w:r>
        <w:rPr>
          <w:rFonts w:eastAsia="Calibri"/>
          <w:sz w:val="20"/>
          <w:szCs w:val="20"/>
          <w:lang w:val="en-GB"/>
        </w:rPr>
        <w:t>-</w:t>
      </w:r>
      <w:r>
        <w:rPr>
          <w:rFonts w:eastAsia="Calibri"/>
          <w:color w:val="000000"/>
          <w:sz w:val="20"/>
          <w:szCs w:val="20"/>
          <w:lang w:val="en-GB"/>
        </w:rPr>
        <w:t>term yield</w:t>
      </w:r>
      <w:r>
        <w:rPr>
          <w:rFonts w:eastAsia="Calibri"/>
          <w:sz w:val="20"/>
          <w:szCs w:val="20"/>
          <w:lang w:val="en-GB"/>
        </w:rPr>
        <w:t xml:space="preserve"> from the fishery, and </w:t>
      </w:r>
    </w:p>
    <w:p>
      <w:pPr>
        <w:pStyle w:val="Normal"/>
        <w:ind w:left="108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jc w:val="both"/>
        <w:rPr>
          <w:rFonts w:ascii="Cambria" w:hAnsi="Cambria" w:eastAsia="Calibri"/>
          <w:color w:val="000000"/>
          <w:sz w:val="20"/>
          <w:szCs w:val="20"/>
          <w:lang w:val="en-GB"/>
        </w:rPr>
      </w:pPr>
      <w:r>
        <w:rPr>
          <w:rFonts w:eastAsia="Calibri"/>
          <w:color w:val="000000"/>
          <w:sz w:val="20"/>
          <w:szCs w:val="20"/>
          <w:lang w:val="en-GB"/>
        </w:rPr>
        <w:t>where the spawning stock biomass (SSB) has been assessed by the SCRS as below the level capable of producing MSY (SSB</w:t>
      </w:r>
      <w:r>
        <w:rPr>
          <w:rFonts w:eastAsia="Calibri"/>
          <w:color w:val="000000"/>
          <w:sz w:val="20"/>
          <w:szCs w:val="20"/>
          <w:vertAlign w:val="subscript"/>
          <w:lang w:val="en-GB"/>
        </w:rPr>
        <w:t>MSY</w:t>
      </w:r>
      <w:r>
        <w:rPr>
          <w:rFonts w:eastAsia="Calibri"/>
          <w:color w:val="000000"/>
          <w:sz w:val="20"/>
          <w:szCs w:val="20"/>
          <w:lang w:val="en-GB"/>
        </w:rPr>
        <w:t>), to rebuild SSB to or above SSB</w:t>
      </w:r>
      <w:r>
        <w:rPr>
          <w:rFonts w:eastAsia="Calibri"/>
          <w:color w:val="000000"/>
          <w:sz w:val="20"/>
          <w:szCs w:val="20"/>
          <w:vertAlign w:val="subscript"/>
          <w:lang w:val="en-GB"/>
        </w:rPr>
        <w:t>MSY</w:t>
      </w:r>
      <w:r>
        <w:rPr>
          <w:rFonts w:eastAsia="Calibri"/>
          <w:sz w:val="20"/>
          <w:szCs w:val="20"/>
          <w:lang w:val="en-GB"/>
        </w:rPr>
        <w:t xml:space="preserve">, </w:t>
      </w:r>
      <w:r>
        <w:rPr>
          <w:rFonts w:eastAsia="Calibri"/>
          <w:color w:val="000000"/>
          <w:sz w:val="20"/>
          <w:szCs w:val="20"/>
          <w:lang w:val="en-GB"/>
        </w:rPr>
        <w:t>with at least a 60% probability, and within as short time as possible, by 2020 at the latest, while maximizing average catch and minimizing inter-annual fluctuations in TAC levels.</w:t>
      </w:r>
    </w:p>
    <w:p>
      <w:pPr>
        <w:pStyle w:val="Normal"/>
        <w:ind w:left="108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0"/>
          <w:numId w:val="4"/>
        </w:numPr>
        <w:jc w:val="both"/>
        <w:rPr>
          <w:rFonts w:ascii="Cambria" w:hAnsi="Cambria" w:eastAsia="Calibri"/>
          <w:color w:val="000000"/>
          <w:sz w:val="20"/>
          <w:szCs w:val="20"/>
          <w:u w:val="single"/>
          <w:lang w:val="en-GB"/>
        </w:rPr>
      </w:pPr>
      <w:r>
        <w:rPr>
          <w:rFonts w:eastAsia="Calibri"/>
          <w:color w:val="000000"/>
          <w:sz w:val="20"/>
          <w:szCs w:val="20"/>
          <w:lang w:val="en-GB"/>
        </w:rPr>
        <w:t xml:space="preserve">In </w:t>
      </w:r>
      <w:r>
        <w:rPr>
          <w:rFonts w:eastAsia="Calibri"/>
          <w:color w:val="000000"/>
          <w:sz w:val="20"/>
          <w:szCs w:val="20"/>
          <w:u w:val="single"/>
          <w:lang w:val="en-GB"/>
        </w:rPr>
        <w:t>201x/By 2020</w:t>
      </w:r>
      <w:r>
        <w:rPr>
          <w:rFonts w:eastAsia="Calibri"/>
          <w:color w:val="000000"/>
          <w:sz w:val="20"/>
          <w:szCs w:val="20"/>
          <w:lang w:val="en-GB"/>
        </w:rPr>
        <w:t xml:space="preserve">, the SCRS shall </w:t>
      </w:r>
      <w:r>
        <w:rPr>
          <w:rFonts w:eastAsia="Calibri"/>
          <w:color w:val="000000"/>
          <w:sz w:val="20"/>
          <w:szCs w:val="20"/>
          <w:u w:val="single"/>
          <w:lang w:val="en-GB"/>
        </w:rPr>
        <w:t>refine</w:t>
      </w:r>
      <w:r>
        <w:rPr>
          <w:rFonts w:eastAsia="Calibri"/>
          <w:color w:val="000000"/>
          <w:sz w:val="20"/>
          <w:szCs w:val="20"/>
          <w:lang w:val="en-GB"/>
        </w:rPr>
        <w:t xml:space="preserve"> </w:t>
      </w:r>
      <w:r>
        <w:rPr>
          <w:rFonts w:eastAsia="Calibri"/>
          <w:color w:val="000000"/>
          <w:sz w:val="20"/>
          <w:szCs w:val="20"/>
          <w:u w:val="single"/>
          <w:lang w:val="en-GB"/>
        </w:rPr>
        <w:t>the testing of</w:t>
      </w:r>
      <w:r>
        <w:rPr>
          <w:rFonts w:eastAsia="Calibri"/>
          <w:color w:val="000000"/>
          <w:sz w:val="20"/>
          <w:szCs w:val="20"/>
          <w:lang w:val="en-GB"/>
        </w:rPr>
        <w:t xml:space="preserve"> candidate reference points (e.g., SSB</w:t>
      </w:r>
      <w:r>
        <w:rPr>
          <w:rFonts w:eastAsia="Calibri"/>
          <w:color w:val="000000"/>
          <w:sz w:val="20"/>
          <w:szCs w:val="20"/>
          <w:vertAlign w:val="subscript"/>
          <w:lang w:val="en-GB"/>
        </w:rPr>
        <w:t>THRESHOLD</w:t>
      </w:r>
      <w:r>
        <w:rPr>
          <w:rFonts w:eastAsia="Calibri"/>
          <w:color w:val="000000"/>
          <w:sz w:val="20"/>
          <w:szCs w:val="20"/>
          <w:lang w:val="en-GB"/>
        </w:rPr>
        <w:t>, SSB</w:t>
      </w:r>
      <w:r>
        <w:rPr>
          <w:rFonts w:eastAsia="Calibri"/>
          <w:color w:val="000000"/>
          <w:sz w:val="20"/>
          <w:szCs w:val="20"/>
          <w:vertAlign w:val="subscript"/>
          <w:lang w:val="en-GB"/>
        </w:rPr>
        <w:t>LIM</w:t>
      </w:r>
      <w:r>
        <w:rPr>
          <w:rFonts w:eastAsia="Calibri"/>
          <w:color w:val="000000"/>
          <w:sz w:val="20"/>
          <w:szCs w:val="20"/>
          <w:lang w:val="en-GB"/>
        </w:rPr>
        <w:t xml:space="preserve"> and F</w:t>
      </w:r>
      <w:r>
        <w:rPr>
          <w:rFonts w:eastAsia="Calibri"/>
          <w:color w:val="000000"/>
          <w:sz w:val="20"/>
          <w:szCs w:val="20"/>
          <w:vertAlign w:val="subscript"/>
          <w:lang w:val="en-GB"/>
        </w:rPr>
        <w:t>TARGET</w:t>
      </w:r>
      <w:r>
        <w:rPr>
          <w:rFonts w:eastAsia="Calibri"/>
          <w:color w:val="000000"/>
          <w:sz w:val="20"/>
          <w:szCs w:val="20"/>
          <w:lang w:val="en-GB"/>
        </w:rPr>
        <w:t>) and associated harvest control rules (HCRs)</w:t>
      </w:r>
      <w:r>
        <w:rPr>
          <w:rStyle w:val="FootnoteAnchor"/>
          <w:rFonts w:eastAsia="Calibri"/>
          <w:color w:val="000000"/>
          <w:sz w:val="20"/>
          <w:szCs w:val="20"/>
          <w:lang w:val="en-GB"/>
        </w:rPr>
        <w:footnoteReference w:id="3"/>
      </w:r>
      <w:r>
        <w:rPr>
          <w:rFonts w:eastAsia="Calibri"/>
          <w:color w:val="000000"/>
          <w:sz w:val="20"/>
          <w:szCs w:val="20"/>
          <w:u w:val="single"/>
          <w:lang w:val="en-GB"/>
        </w:rPr>
        <w:t xml:space="preserve"> </w:t>
      </w:r>
      <w:r>
        <w:rPr>
          <w:rFonts w:eastAsia="Calibri"/>
          <w:color w:val="000000"/>
          <w:sz w:val="20"/>
          <w:szCs w:val="20"/>
          <w:lang w:val="en-GB"/>
        </w:rPr>
        <w:t xml:space="preserve">that would support the management objective expressed in paragraph 1 above and/or any other management objectives agreed by the Commission. </w:t>
      </w:r>
      <w:r>
        <w:rPr>
          <w:rFonts w:eastAsia="Calibri"/>
          <w:color w:val="000000"/>
          <w:sz w:val="20"/>
          <w:szCs w:val="20"/>
          <w:u w:val="single"/>
          <w:lang w:val="en-GB"/>
        </w:rPr>
        <w:t xml:space="preserve">The SCRS shall also provide statistics to support decision-making (see </w:t>
      </w:r>
      <w:r>
        <w:rPr>
          <w:rFonts w:eastAsia="Calibri"/>
          <w:b/>
          <w:color w:val="000000"/>
          <w:sz w:val="20"/>
          <w:szCs w:val="20"/>
          <w:u w:val="single"/>
          <w:lang w:val="en-GB"/>
        </w:rPr>
        <w:t>Annex 2</w:t>
      </w:r>
      <w:r>
        <w:rPr>
          <w:rFonts w:eastAsia="Calibri"/>
          <w:color w:val="000000"/>
          <w:sz w:val="20"/>
          <w:szCs w:val="20"/>
          <w:u w:val="single"/>
          <w:lang w:val="en-GB"/>
        </w:rPr>
        <w:t>).</w:t>
      </w:r>
    </w:p>
    <w:p>
      <w:pPr>
        <w:pStyle w:val="Normal"/>
        <w:ind w:left="36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0"/>
          <w:numId w:val="4"/>
        </w:numPr>
        <w:jc w:val="both"/>
        <w:rPr>
          <w:rFonts w:ascii="Cambria" w:hAnsi="Cambria" w:eastAsia="Calibri"/>
          <w:color w:val="000000"/>
          <w:sz w:val="20"/>
          <w:szCs w:val="20"/>
          <w:lang w:val="en-GB"/>
        </w:rPr>
      </w:pPr>
      <w:r>
        <w:rPr>
          <w:rFonts w:eastAsia="Calibri"/>
          <w:color w:val="000000"/>
          <w:sz w:val="20"/>
          <w:szCs w:val="20"/>
          <w:lang w:val="en-GB"/>
        </w:rPr>
        <w:t xml:space="preserve">The result of the analyses described in paragraph 2 will be discussed in a dialogue between scientists and managers to be organised in </w:t>
      </w:r>
      <w:r>
        <w:rPr>
          <w:rFonts w:eastAsia="Calibri"/>
          <w:color w:val="000000"/>
          <w:sz w:val="20"/>
          <w:szCs w:val="20"/>
          <w:u w:val="single"/>
          <w:lang w:val="en-GB"/>
        </w:rPr>
        <w:t>201x/by 2020</w:t>
      </w:r>
      <w:r>
        <w:rPr>
          <w:rFonts w:eastAsia="Calibri"/>
          <w:color w:val="000000"/>
          <w:sz w:val="20"/>
          <w:szCs w:val="20"/>
          <w:lang w:val="en-GB"/>
        </w:rPr>
        <w:t>, either during a meeting of the SWGSM or as an inter-sessional meeting of Panel 2.</w:t>
      </w:r>
    </w:p>
    <w:p>
      <w:pPr>
        <w:pStyle w:val="Normal"/>
        <w:ind w:left="360" w:hanging="0"/>
        <w:jc w:val="both"/>
        <w:rPr>
          <w:rFonts w:ascii="Cambria" w:hAnsi="Cambria" w:eastAsia="Calibri"/>
          <w:color w:val="000000"/>
          <w:sz w:val="20"/>
          <w:szCs w:val="20"/>
          <w:lang w:val="en-GB"/>
        </w:rPr>
      </w:pPr>
      <w:r>
        <w:rPr>
          <w:rFonts w:eastAsia="Calibri"/>
          <w:color w:val="000000"/>
          <w:sz w:val="20"/>
          <w:szCs w:val="20"/>
          <w:lang w:val="en-GB"/>
        </w:rPr>
      </w:r>
    </w:p>
    <w:p>
      <w:pPr>
        <w:pStyle w:val="Normal"/>
        <w:ind w:left="360" w:hanging="0"/>
        <w:jc w:val="both"/>
        <w:rPr>
          <w:rFonts w:ascii="Cambria" w:hAnsi="Cambria" w:eastAsia="Calibri"/>
          <w:color w:val="000000"/>
          <w:sz w:val="20"/>
          <w:szCs w:val="20"/>
          <w:lang w:val="en-GB"/>
        </w:rPr>
      </w:pPr>
      <w:r>
        <w:rPr>
          <w:rFonts w:eastAsia="Calibri"/>
          <w:color w:val="000000"/>
          <w:sz w:val="20"/>
          <w:szCs w:val="20"/>
          <w:lang w:val="en-GB"/>
        </w:rPr>
      </w:r>
    </w:p>
    <w:p>
      <w:pPr>
        <w:pStyle w:val="Normal"/>
        <w:ind w:left="36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0"/>
          <w:numId w:val="4"/>
        </w:numPr>
        <w:jc w:val="both"/>
        <w:rPr>
          <w:rFonts w:ascii="Cambria" w:hAnsi="Cambria" w:eastAsia="Calibri"/>
          <w:color w:val="000000"/>
          <w:sz w:val="20"/>
          <w:szCs w:val="20"/>
          <w:lang w:val="en-GB"/>
        </w:rPr>
      </w:pPr>
      <w:r>
        <w:rPr>
          <w:rFonts w:eastAsia="Calibri"/>
          <w:color w:val="000000"/>
          <w:sz w:val="20"/>
          <w:szCs w:val="20"/>
          <w:lang w:val="en-GB"/>
        </w:rPr>
        <w:t>Based on the SCRS inputs and advice provided pursuant to paragraph 2 above</w:t>
      </w:r>
      <w:r>
        <w:rPr>
          <w:rFonts w:eastAsia="Calibri"/>
          <w:sz w:val="20"/>
          <w:szCs w:val="20"/>
          <w:lang w:val="en-GB"/>
        </w:rPr>
        <w:t xml:space="preserve"> </w:t>
      </w:r>
      <w:r>
        <w:rPr>
          <w:rFonts w:eastAsia="Calibri"/>
          <w:color w:val="000000"/>
          <w:sz w:val="20"/>
          <w:szCs w:val="20"/>
          <w:lang w:val="en-GB"/>
        </w:rPr>
        <w:t>and the dialogue process indicated in paragraph 3, the Commission shall then adopt HCR for the northern albacore stock, including pre-agreed management actions to be taken under various stock conditions. For this specific purpose, the management actions below will be considered by the Commission and updated as necessary:</w:t>
      </w:r>
    </w:p>
    <w:p>
      <w:pPr>
        <w:pStyle w:val="Normal"/>
        <w:ind w:left="108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jc w:val="both"/>
        <w:rPr>
          <w:rFonts w:ascii="Cambria" w:hAnsi="Cambria" w:eastAsia="Calibri"/>
          <w:color w:val="000000"/>
          <w:sz w:val="20"/>
          <w:szCs w:val="20"/>
          <w:lang w:val="en-GB"/>
        </w:rPr>
      </w:pPr>
      <w:r>
        <w:rPr>
          <w:rFonts w:eastAsia="Calibri"/>
          <w:color w:val="000000"/>
          <w:sz w:val="20"/>
          <w:szCs w:val="20"/>
          <w:lang w:val="en-GB"/>
        </w:rPr>
        <w:t>If the average spawning stock biomass (SSB) level is less than SSB</w:t>
      </w:r>
      <w:r>
        <w:rPr>
          <w:rFonts w:eastAsia="Calibri"/>
          <w:color w:val="000000"/>
          <w:sz w:val="20"/>
          <w:szCs w:val="20"/>
          <w:vertAlign w:val="subscript"/>
          <w:lang w:val="en-GB"/>
        </w:rPr>
        <w:t>LIM</w:t>
      </w:r>
      <w:r>
        <w:rPr>
          <w:rFonts w:eastAsia="Calibri"/>
          <w:color w:val="000000"/>
          <w:sz w:val="20"/>
          <w:szCs w:val="20"/>
          <w:lang w:val="en-GB"/>
        </w:rPr>
        <w:t xml:space="preserve"> (</w:t>
      </w:r>
      <w:r>
        <w:rPr>
          <w:rFonts w:eastAsia="Calibri"/>
          <w:i/>
          <w:color w:val="000000"/>
          <w:sz w:val="20"/>
          <w:szCs w:val="20"/>
          <w:lang w:val="en-GB"/>
        </w:rPr>
        <w:t>i.e., SSB&lt;SSB</w:t>
      </w:r>
      <w:r>
        <w:rPr>
          <w:rFonts w:eastAsia="Calibri"/>
          <w:i/>
          <w:color w:val="000000"/>
          <w:sz w:val="20"/>
          <w:szCs w:val="20"/>
          <w:vertAlign w:val="subscript"/>
          <w:lang w:val="en-GB"/>
        </w:rPr>
        <w:t>LIM</w:t>
      </w:r>
      <w:r>
        <w:rPr>
          <w:rFonts w:eastAsia="Calibri"/>
          <w:color w:val="000000"/>
          <w:sz w:val="20"/>
          <w:szCs w:val="20"/>
          <w:lang w:val="en-GB"/>
        </w:rPr>
        <w:t>), the Commission shall adopt severe management actions immediately to reduce the fishing mortality rate, including measures that suspend the fishery and initiate a scientific monitoring quota to be able to evaluate stock status. This scientific monitoring quota shall be set at the lowest possible level to be effective. The Commission shall not consider re-opening the fishery until the average SSB level exceeds SSB</w:t>
      </w:r>
      <w:r>
        <w:rPr>
          <w:rFonts w:eastAsia="Calibri"/>
          <w:color w:val="000000"/>
          <w:sz w:val="20"/>
          <w:szCs w:val="20"/>
          <w:vertAlign w:val="subscript"/>
          <w:lang w:val="en-GB"/>
        </w:rPr>
        <w:t>LIM</w:t>
      </w:r>
      <w:r>
        <w:rPr>
          <w:rFonts w:eastAsia="Calibri"/>
          <w:color w:val="000000"/>
          <w:sz w:val="20"/>
          <w:szCs w:val="20"/>
          <w:lang w:val="en-GB"/>
        </w:rPr>
        <w:t xml:space="preserve"> with a high probability.  Further, before reopening the fishery, the Commission shall develop a rebuilding program in order to ensure that the stock returns to the green zone of the Kobe plot.</w:t>
      </w:r>
    </w:p>
    <w:p>
      <w:pPr>
        <w:pStyle w:val="Normal"/>
        <w:ind w:left="1080" w:hanging="0"/>
        <w:jc w:val="bot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ind w:left="1077" w:hanging="357"/>
        <w:jc w:val="both"/>
        <w:rPr>
          <w:rFonts w:ascii="Cambria" w:hAnsi="Cambria" w:eastAsia="Calibri"/>
          <w:color w:val="000000"/>
          <w:sz w:val="20"/>
          <w:szCs w:val="20"/>
          <w:lang w:val="en-GB"/>
        </w:rPr>
      </w:pPr>
      <w:r>
        <w:rPr>
          <w:rFonts w:eastAsia="Calibri"/>
          <w:color w:val="000000"/>
          <w:sz w:val="20"/>
          <w:szCs w:val="20"/>
          <w:lang w:val="en-GB"/>
        </w:rPr>
        <w:t>If the average SSB level is equal to or less than SSB</w:t>
      </w:r>
      <w:r>
        <w:rPr>
          <w:rFonts w:eastAsia="Calibri"/>
          <w:color w:val="000000"/>
          <w:sz w:val="20"/>
          <w:szCs w:val="20"/>
          <w:vertAlign w:val="subscript"/>
          <w:lang w:val="en-GB"/>
        </w:rPr>
        <w:t>THRESHOLD</w:t>
      </w:r>
      <w:r>
        <w:rPr>
          <w:rFonts w:eastAsia="Calibri"/>
          <w:color w:val="000000"/>
          <w:sz w:val="20"/>
          <w:szCs w:val="20"/>
          <w:lang w:val="en-GB"/>
        </w:rPr>
        <w:t xml:space="preserve"> and equal to or above SSB</w:t>
      </w:r>
      <w:r>
        <w:rPr>
          <w:rFonts w:eastAsia="Calibri"/>
          <w:color w:val="000000"/>
          <w:sz w:val="20"/>
          <w:szCs w:val="20"/>
          <w:vertAlign w:val="subscript"/>
          <w:lang w:val="en-GB"/>
        </w:rPr>
        <w:t>LIM</w:t>
      </w:r>
      <w:r>
        <w:rPr>
          <w:rFonts w:eastAsia="Calibri"/>
          <w:color w:val="000000"/>
          <w:sz w:val="20"/>
          <w:szCs w:val="20"/>
          <w:lang w:val="en-GB"/>
        </w:rPr>
        <w:t xml:space="preserve"> (</w:t>
      </w:r>
      <w:r>
        <w:rPr>
          <w:rFonts w:eastAsia="Calibri"/>
          <w:i/>
          <w:color w:val="000000"/>
          <w:sz w:val="20"/>
          <w:szCs w:val="20"/>
          <w:lang w:val="en-GB"/>
        </w:rPr>
        <w:t>i.e., SSB</w:t>
      </w:r>
      <w:r>
        <w:rPr>
          <w:rFonts w:eastAsia="Calibri"/>
          <w:i/>
          <w:color w:val="000000"/>
          <w:sz w:val="20"/>
          <w:szCs w:val="20"/>
          <w:vertAlign w:val="subscript"/>
          <w:lang w:val="en-GB"/>
        </w:rPr>
        <w:t>LIM</w:t>
      </w:r>
      <w:r>
        <w:rPr>
          <w:rFonts w:eastAsia="Calibri"/>
          <w:i/>
          <w:color w:val="000000"/>
          <w:sz w:val="20"/>
          <w:szCs w:val="20"/>
          <w:lang w:val="en-GB"/>
        </w:rPr>
        <w:t> ≤ SSB ≤</w:t>
      </w:r>
      <w:r>
        <w:rPr>
          <w:rFonts w:eastAsia="Calibri"/>
          <w:color w:val="000000"/>
          <w:sz w:val="20"/>
          <w:szCs w:val="20"/>
          <w:lang w:val="en-GB"/>
        </w:rPr>
        <w:t> </w:t>
      </w:r>
      <w:r>
        <w:rPr>
          <w:rFonts w:eastAsia="Calibri"/>
          <w:i/>
          <w:color w:val="000000"/>
          <w:sz w:val="20"/>
          <w:szCs w:val="20"/>
          <w:lang w:val="en-GB"/>
        </w:rPr>
        <w:t>SSB</w:t>
      </w:r>
      <w:r>
        <w:rPr>
          <w:rFonts w:eastAsia="Calibri"/>
          <w:i/>
          <w:color w:val="000000"/>
          <w:sz w:val="20"/>
          <w:szCs w:val="20"/>
          <w:vertAlign w:val="subscript"/>
          <w:lang w:val="en-GB"/>
        </w:rPr>
        <w:t>THRESHOLD</w:t>
      </w:r>
      <w:r>
        <w:rPr>
          <w:rFonts w:eastAsia="Calibri"/>
          <w:color w:val="000000"/>
          <w:sz w:val="20"/>
          <w:szCs w:val="20"/>
          <w:lang w:val="en-GB"/>
        </w:rPr>
        <w:t>) and</w:t>
      </w:r>
    </w:p>
    <w:p>
      <w:pPr>
        <w:pStyle w:val="Normal"/>
        <w:numPr>
          <w:ilvl w:val="2"/>
          <w:numId w:val="4"/>
        </w:numPr>
        <w:jc w:val="both"/>
        <w:rPr>
          <w:rFonts w:ascii="Cambria" w:hAnsi="Cambria" w:eastAsia="Calibri"/>
          <w:color w:val="000000"/>
          <w:sz w:val="20"/>
          <w:szCs w:val="20"/>
          <w:u w:val="single"/>
          <w:lang w:val="en-GB"/>
        </w:rPr>
      </w:pPr>
      <w:r>
        <w:rPr>
          <w:rFonts w:eastAsia="Calibri"/>
          <w:color w:val="000000"/>
          <w:sz w:val="20"/>
          <w:szCs w:val="20"/>
          <w:u w:val="single"/>
          <w:lang w:val="en-GB"/>
        </w:rPr>
        <w:t>F is at or below the level specified in the HCR, the Commission shall assure that that applied management measures will maintain F at or below the level specified in the HCR until the average SSB is above SSB</w:t>
      </w:r>
      <w:r>
        <w:rPr>
          <w:rFonts w:eastAsia="Calibri"/>
          <w:color w:val="000000"/>
          <w:sz w:val="20"/>
          <w:szCs w:val="20"/>
          <w:u w:val="single"/>
          <w:vertAlign w:val="subscript"/>
          <w:lang w:val="en-GB"/>
        </w:rPr>
        <w:t>THRESHOLD;</w:t>
      </w:r>
    </w:p>
    <w:p>
      <w:pPr>
        <w:pStyle w:val="Normal"/>
        <w:numPr>
          <w:ilvl w:val="2"/>
          <w:numId w:val="4"/>
        </w:numPr>
        <w:jc w:val="both"/>
        <w:rPr>
          <w:rFonts w:ascii="Cambria" w:hAnsi="Cambria" w:eastAsia="Calibri"/>
          <w:color w:val="000000"/>
          <w:sz w:val="20"/>
          <w:szCs w:val="20"/>
          <w:lang w:val="en-GB"/>
        </w:rPr>
      </w:pPr>
      <w:r>
        <w:rPr>
          <w:rFonts w:eastAsia="Calibri"/>
          <w:color w:val="000000"/>
          <w:sz w:val="20"/>
          <w:szCs w:val="20"/>
          <w:lang w:val="en-GB"/>
        </w:rPr>
        <w:t xml:space="preserve"> </w:t>
      </w:r>
      <w:r>
        <w:rPr>
          <w:rFonts w:eastAsia="Calibri"/>
          <w:color w:val="000000"/>
          <w:sz w:val="20"/>
          <w:szCs w:val="20"/>
          <w:lang w:val="en-GB"/>
        </w:rPr>
        <w:t xml:space="preserve">F is above the level specified in the HCR, the Commission shall </w:t>
      </w:r>
      <w:r>
        <w:rPr>
          <w:rFonts w:eastAsia="Calibri"/>
          <w:color w:val="000000"/>
          <w:sz w:val="20"/>
          <w:szCs w:val="20"/>
          <w:u w:val="single"/>
          <w:lang w:val="en-GB"/>
        </w:rPr>
        <w:t xml:space="preserve">assure that in maximum 3 annual steps </w:t>
      </w:r>
      <w:r>
        <w:rPr>
          <w:rFonts w:eastAsia="Calibri"/>
          <w:color w:val="000000"/>
          <w:sz w:val="20"/>
          <w:szCs w:val="20"/>
          <w:lang w:val="en-GB"/>
        </w:rPr>
        <w:t xml:space="preserve">F </w:t>
      </w:r>
      <w:r>
        <w:rPr>
          <w:rFonts w:eastAsia="Calibri"/>
          <w:color w:val="000000"/>
          <w:sz w:val="20"/>
          <w:szCs w:val="20"/>
          <w:u w:val="single"/>
          <w:lang w:val="en-GB"/>
        </w:rPr>
        <w:t xml:space="preserve">is reduced to the level </w:t>
      </w:r>
      <w:r>
        <w:rPr>
          <w:rFonts w:eastAsia="Calibri"/>
          <w:color w:val="000000"/>
          <w:sz w:val="20"/>
          <w:szCs w:val="20"/>
          <w:lang w:val="en-GB"/>
        </w:rPr>
        <w:t>specified in the HCR to ensure F is at a level that will rebuild SSB to SSB</w:t>
      </w:r>
      <w:r>
        <w:rPr>
          <w:rFonts w:eastAsia="Calibri"/>
          <w:color w:val="000000"/>
          <w:sz w:val="20"/>
          <w:szCs w:val="20"/>
          <w:vertAlign w:val="subscript"/>
          <w:lang w:val="en-GB"/>
        </w:rPr>
        <w:t>MSY</w:t>
      </w:r>
      <w:r>
        <w:rPr>
          <w:rFonts w:eastAsia="Calibri"/>
          <w:color w:val="000000"/>
          <w:sz w:val="20"/>
          <w:szCs w:val="20"/>
          <w:lang w:val="en-GB"/>
        </w:rPr>
        <w:t xml:space="preserve"> or above that level.</w:t>
      </w:r>
    </w:p>
    <w:p>
      <w:pPr>
        <w:pStyle w:val="ListParagrap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ind w:left="1077" w:hanging="357"/>
        <w:jc w:val="both"/>
        <w:rPr>
          <w:rFonts w:ascii="Cambria" w:hAnsi="Cambria" w:eastAsia="Calibri"/>
          <w:color w:val="000000"/>
          <w:sz w:val="20"/>
          <w:szCs w:val="20"/>
          <w:lang w:val="en-GB"/>
        </w:rPr>
      </w:pPr>
      <w:r>
        <w:rPr>
          <w:rFonts w:eastAsia="Calibri"/>
          <w:color w:val="000000"/>
          <w:sz w:val="20"/>
          <w:szCs w:val="20"/>
          <w:lang w:val="en-GB"/>
        </w:rPr>
        <w:t>If the average SSB is above SSB</w:t>
      </w:r>
      <w:r>
        <w:rPr>
          <w:rFonts w:eastAsia="Calibri"/>
          <w:color w:val="000000"/>
          <w:sz w:val="20"/>
          <w:szCs w:val="20"/>
          <w:vertAlign w:val="subscript"/>
          <w:lang w:val="en-GB"/>
        </w:rPr>
        <w:t>THRESHOLD</w:t>
      </w:r>
      <w:r>
        <w:rPr>
          <w:rFonts w:eastAsia="Calibri"/>
          <w:color w:val="000000"/>
          <w:sz w:val="20"/>
          <w:szCs w:val="20"/>
          <w:lang w:val="en-GB"/>
        </w:rPr>
        <w:t xml:space="preserve"> but F exceeds F</w:t>
      </w:r>
      <w:r>
        <w:rPr>
          <w:rFonts w:eastAsia="Calibri"/>
          <w:color w:val="000000"/>
          <w:sz w:val="20"/>
          <w:szCs w:val="20"/>
          <w:vertAlign w:val="subscript"/>
          <w:lang w:val="en-GB"/>
        </w:rPr>
        <w:t>TARGET</w:t>
      </w:r>
      <w:r>
        <w:rPr>
          <w:rFonts w:eastAsia="Calibri"/>
          <w:color w:val="000000"/>
          <w:sz w:val="20"/>
          <w:szCs w:val="20"/>
          <w:lang w:val="en-GB"/>
        </w:rPr>
        <w:t xml:space="preserve"> (</w:t>
      </w:r>
      <w:r>
        <w:rPr>
          <w:rFonts w:eastAsia="Calibri"/>
          <w:i/>
          <w:color w:val="000000"/>
          <w:sz w:val="20"/>
          <w:szCs w:val="20"/>
          <w:lang w:val="en-GB"/>
        </w:rPr>
        <w:t>i.e., SSB&gt;SSB</w:t>
      </w:r>
      <w:r>
        <w:rPr>
          <w:rFonts w:eastAsia="Calibri"/>
          <w:i/>
          <w:color w:val="000000"/>
          <w:sz w:val="20"/>
          <w:szCs w:val="20"/>
          <w:vertAlign w:val="subscript"/>
          <w:lang w:val="en-GB"/>
        </w:rPr>
        <w:t>THRESHOLD</w:t>
      </w:r>
      <w:r>
        <w:rPr>
          <w:rFonts w:eastAsia="Calibri"/>
          <w:i/>
          <w:color w:val="000000"/>
          <w:sz w:val="20"/>
          <w:szCs w:val="20"/>
          <w:lang w:val="en-GB"/>
        </w:rPr>
        <w:t xml:space="preserve"> and F&gt;F</w:t>
      </w:r>
      <w:r>
        <w:rPr>
          <w:rFonts w:eastAsia="Calibri"/>
          <w:i/>
          <w:color w:val="000000"/>
          <w:sz w:val="20"/>
          <w:szCs w:val="20"/>
          <w:vertAlign w:val="subscript"/>
          <w:lang w:val="en-GB"/>
        </w:rPr>
        <w:t>TARGET</w:t>
      </w:r>
      <w:r>
        <w:rPr>
          <w:rFonts w:eastAsia="Calibri"/>
          <w:color w:val="000000"/>
          <w:sz w:val="20"/>
          <w:szCs w:val="20"/>
          <w:lang w:val="en-GB"/>
        </w:rPr>
        <w:t xml:space="preserve">), the Commission shall immediately take </w:t>
      </w:r>
      <w:r>
        <w:rPr>
          <w:rFonts w:eastAsia="Calibri"/>
          <w:color w:val="000000"/>
          <w:sz w:val="20"/>
          <w:szCs w:val="20"/>
          <w:u w:val="single"/>
          <w:lang w:val="en-GB"/>
        </w:rPr>
        <w:t>measures</w:t>
      </w:r>
      <w:r>
        <w:rPr>
          <w:rFonts w:eastAsia="Calibri"/>
          <w:color w:val="000000"/>
          <w:sz w:val="20"/>
          <w:szCs w:val="20"/>
          <w:lang w:val="en-GB"/>
        </w:rPr>
        <w:t xml:space="preserve"> to reduce F to F</w:t>
      </w:r>
      <w:r>
        <w:rPr>
          <w:rFonts w:eastAsia="Calibri"/>
          <w:color w:val="000000"/>
          <w:sz w:val="20"/>
          <w:szCs w:val="20"/>
          <w:vertAlign w:val="subscript"/>
          <w:lang w:val="en-GB"/>
        </w:rPr>
        <w:t xml:space="preserve">TARGET </w:t>
      </w:r>
      <w:r>
        <w:rPr>
          <w:rFonts w:eastAsia="Calibri"/>
          <w:color w:val="000000"/>
          <w:sz w:val="20"/>
          <w:szCs w:val="20"/>
          <w:u w:val="single"/>
          <w:lang w:val="en-GB"/>
        </w:rPr>
        <w:t>in maximum 3 annual steps</w:t>
      </w:r>
      <w:r>
        <w:rPr>
          <w:rFonts w:eastAsia="Calibri"/>
          <w:color w:val="000000"/>
          <w:sz w:val="20"/>
          <w:szCs w:val="20"/>
          <w:lang w:val="en-GB"/>
        </w:rPr>
        <w:t>.</w:t>
      </w:r>
    </w:p>
    <w:p>
      <w:pPr>
        <w:pStyle w:val="ListParagraph"/>
        <w:rPr>
          <w:rFonts w:ascii="Cambria" w:hAnsi="Cambria" w:eastAsia="Calibri"/>
          <w:color w:val="000000"/>
          <w:sz w:val="20"/>
          <w:szCs w:val="20"/>
          <w:lang w:val="en-GB"/>
        </w:rPr>
      </w:pPr>
      <w:r>
        <w:rPr>
          <w:rFonts w:eastAsia="Calibri"/>
          <w:color w:val="000000"/>
          <w:sz w:val="20"/>
          <w:szCs w:val="20"/>
          <w:lang w:val="en-GB"/>
        </w:rPr>
      </w:r>
    </w:p>
    <w:p>
      <w:pPr>
        <w:pStyle w:val="Normal"/>
        <w:numPr>
          <w:ilvl w:val="1"/>
          <w:numId w:val="4"/>
        </w:numPr>
        <w:ind w:left="1077" w:hanging="357"/>
        <w:jc w:val="both"/>
        <w:rPr>
          <w:rFonts w:ascii="Cambria" w:hAnsi="Cambria" w:eastAsia="Calibri"/>
          <w:color w:val="000000"/>
          <w:sz w:val="20"/>
          <w:szCs w:val="20"/>
          <w:lang w:val="en-GB"/>
        </w:rPr>
      </w:pPr>
      <w:r>
        <w:rPr>
          <w:rFonts w:eastAsia="Calibri"/>
          <w:color w:val="000000"/>
          <w:sz w:val="20"/>
          <w:szCs w:val="20"/>
          <w:lang w:val="en-GB"/>
        </w:rPr>
        <w:t>Once the average SSB level reaches or exceeds SSB</w:t>
      </w:r>
      <w:r>
        <w:rPr>
          <w:rFonts w:eastAsia="Calibri"/>
          <w:color w:val="000000"/>
          <w:sz w:val="20"/>
          <w:szCs w:val="20"/>
          <w:vertAlign w:val="subscript"/>
          <w:lang w:val="en-GB"/>
        </w:rPr>
        <w:t>THRESHOLD</w:t>
      </w:r>
      <w:r>
        <w:rPr>
          <w:rFonts w:eastAsia="Calibri"/>
          <w:color w:val="000000"/>
          <w:sz w:val="20"/>
          <w:szCs w:val="20"/>
          <w:lang w:val="en-GB"/>
        </w:rPr>
        <w:t xml:space="preserve"> and F is less or equal than F</w:t>
      </w:r>
      <w:r>
        <w:rPr>
          <w:rFonts w:eastAsia="Calibri"/>
          <w:color w:val="000000"/>
          <w:sz w:val="20"/>
          <w:szCs w:val="20"/>
          <w:vertAlign w:val="subscript"/>
          <w:lang w:val="en-GB"/>
        </w:rPr>
        <w:t>TARGET</w:t>
      </w:r>
      <w:r>
        <w:rPr>
          <w:rFonts w:eastAsia="Calibri"/>
          <w:color w:val="000000"/>
          <w:sz w:val="20"/>
          <w:szCs w:val="20"/>
          <w:lang w:val="en-GB"/>
        </w:rPr>
        <w:t xml:space="preserve"> (</w:t>
      </w:r>
      <w:r>
        <w:rPr>
          <w:rFonts w:eastAsia="Calibri"/>
          <w:i/>
          <w:color w:val="000000"/>
          <w:sz w:val="20"/>
          <w:szCs w:val="20"/>
          <w:lang w:val="en-GB"/>
        </w:rPr>
        <w:t>i.e., SSB &gt; SSB</w:t>
      </w:r>
      <w:r>
        <w:rPr>
          <w:rFonts w:eastAsia="Calibri"/>
          <w:i/>
          <w:color w:val="000000"/>
          <w:sz w:val="20"/>
          <w:szCs w:val="20"/>
          <w:vertAlign w:val="subscript"/>
          <w:lang w:val="en-GB"/>
        </w:rPr>
        <w:t>THRESHOLD</w:t>
      </w:r>
      <w:r>
        <w:rPr>
          <w:rFonts w:eastAsia="Calibri"/>
          <w:i/>
          <w:color w:val="000000"/>
          <w:sz w:val="20"/>
          <w:szCs w:val="20"/>
          <w:lang w:val="en-GB"/>
        </w:rPr>
        <w:t xml:space="preserve"> and F ≤ F</w:t>
      </w:r>
      <w:r>
        <w:rPr>
          <w:rFonts w:eastAsia="Calibri"/>
          <w:i/>
          <w:color w:val="000000"/>
          <w:sz w:val="20"/>
          <w:szCs w:val="20"/>
          <w:vertAlign w:val="subscript"/>
          <w:lang w:val="en-GB"/>
        </w:rPr>
        <w:t>TARGET</w:t>
      </w:r>
      <w:r>
        <w:rPr>
          <w:rFonts w:eastAsia="Calibri"/>
          <w:color w:val="000000"/>
          <w:sz w:val="20"/>
          <w:szCs w:val="20"/>
          <w:lang w:val="en-GB"/>
        </w:rPr>
        <w:t>), the Commission shall assure that applied management measures will maintain F at or below F</w:t>
      </w:r>
      <w:r>
        <w:rPr>
          <w:rFonts w:eastAsia="Calibri"/>
          <w:color w:val="000000"/>
          <w:sz w:val="20"/>
          <w:szCs w:val="20"/>
          <w:vertAlign w:val="subscript"/>
          <w:lang w:val="en-GB"/>
        </w:rPr>
        <w:t>TARGET</w:t>
      </w:r>
      <w:r>
        <w:rPr>
          <w:rFonts w:eastAsia="Calibri"/>
          <w:color w:val="000000"/>
          <w:sz w:val="20"/>
          <w:szCs w:val="20"/>
          <w:lang w:val="en-GB"/>
        </w:rPr>
        <w:t xml:space="preserve"> </w:t>
      </w:r>
      <w:r>
        <w:rPr>
          <w:rFonts w:eastAsia="Calibri"/>
          <w:color w:val="000000"/>
          <w:sz w:val="20"/>
          <w:szCs w:val="20"/>
          <w:u w:val="single"/>
          <w:lang w:val="en-GB"/>
        </w:rPr>
        <w:t>and in case F is increased to F</w:t>
      </w:r>
      <w:r>
        <w:rPr>
          <w:rFonts w:eastAsia="Calibri"/>
          <w:color w:val="000000"/>
          <w:sz w:val="20"/>
          <w:szCs w:val="20"/>
          <w:u w:val="single"/>
          <w:vertAlign w:val="subscript"/>
          <w:lang w:val="en-GB"/>
        </w:rPr>
        <w:t>TARGET</w:t>
      </w:r>
      <w:r>
        <w:rPr>
          <w:rFonts w:eastAsia="Calibri"/>
          <w:color w:val="000000"/>
          <w:sz w:val="20"/>
          <w:szCs w:val="20"/>
          <w:u w:val="single"/>
          <w:lang w:val="en-GB"/>
        </w:rPr>
        <w:t xml:space="preserve"> this is done in minimum 3 annual steps.</w:t>
      </w:r>
    </w:p>
    <w:p>
      <w:pPr>
        <w:pStyle w:val="ListParagraph"/>
        <w:rPr>
          <w:rFonts w:ascii="Cambria" w:hAnsi="Cambria" w:eastAsia="Calibri"/>
          <w:color w:val="000000"/>
          <w:sz w:val="20"/>
          <w:szCs w:val="20"/>
          <w:lang w:val="en-GB"/>
        </w:rPr>
      </w:pPr>
      <w:r>
        <w:rPr>
          <w:rFonts w:eastAsia="Calibri"/>
          <w:color w:val="000000"/>
          <w:sz w:val="20"/>
          <w:szCs w:val="20"/>
          <w:lang w:val="en-GB"/>
        </w:rPr>
      </w:r>
    </w:p>
    <w:p>
      <w:pPr>
        <w:pStyle w:val="Normal"/>
        <w:numPr>
          <w:ilvl w:val="0"/>
          <w:numId w:val="4"/>
        </w:numPr>
        <w:jc w:val="both"/>
        <w:rPr>
          <w:rFonts w:ascii="Cambria" w:hAnsi="Cambria" w:eastAsia="Calibri"/>
          <w:color w:val="FF0000"/>
          <w:sz w:val="20"/>
          <w:szCs w:val="20"/>
        </w:rPr>
      </w:pPr>
      <w:r>
        <w:rPr>
          <w:color w:val="000000"/>
          <w:sz w:val="20"/>
          <w:szCs w:val="20"/>
        </w:rPr>
        <w:t>These HCRs should be evaluated by SCRS through the management strategy evaluation process, including in light of new assessments of the stock. The Commission shall review the results of these evaluations and make adjustments to the HCRs as needed.</w:t>
      </w:r>
      <w:r>
        <w:br w:type="page"/>
      </w:r>
    </w:p>
    <w:p>
      <w:pPr>
        <w:pStyle w:val="Normal"/>
        <w:ind w:left="720" w:hanging="0"/>
        <w:jc w:val="right"/>
        <w:rPr>
          <w:rFonts w:ascii="Cambria" w:hAnsi="Cambria"/>
          <w:b/>
          <w:b/>
          <w:sz w:val="20"/>
          <w:szCs w:val="20"/>
        </w:rPr>
      </w:pPr>
      <w:r>
        <w:rPr>
          <w:b/>
          <w:sz w:val="20"/>
          <w:szCs w:val="20"/>
        </w:rPr>
        <w:t>Annex 1</w:t>
      </w:r>
    </w:p>
    <w:p>
      <w:pPr>
        <w:pStyle w:val="Normal"/>
        <w:ind w:left="720" w:hanging="0"/>
        <w:jc w:val="right"/>
        <w:rPr>
          <w:rFonts w:ascii="Cambria" w:hAnsi="Cambria" w:eastAsia="Times New Roman"/>
          <w:b/>
          <w:b/>
          <w:sz w:val="20"/>
          <w:szCs w:val="20"/>
        </w:rPr>
      </w:pPr>
      <w:r>
        <w:rPr>
          <w:rFonts w:eastAsia="Times New Roman"/>
          <w:b/>
          <w:sz w:val="20"/>
          <w:szCs w:val="20"/>
        </w:rPr>
      </w:r>
    </w:p>
    <w:p>
      <w:pPr>
        <w:pStyle w:val="Normal"/>
        <w:ind w:left="720" w:hanging="0"/>
        <w:jc w:val="center"/>
        <w:rPr>
          <w:rFonts w:ascii="Cambria" w:hAnsi="Cambria"/>
          <w:b/>
          <w:b/>
          <w:sz w:val="20"/>
          <w:szCs w:val="20"/>
        </w:rPr>
      </w:pPr>
      <w:r>
        <w:rPr>
          <w:b/>
          <w:sz w:val="20"/>
          <w:szCs w:val="20"/>
        </w:rPr>
      </w:r>
    </w:p>
    <w:p>
      <w:pPr>
        <w:pStyle w:val="Normal"/>
        <w:ind w:left="720" w:hanging="0"/>
        <w:jc w:val="center"/>
        <w:rPr>
          <w:rFonts w:ascii="Cambria" w:hAnsi="Cambria"/>
          <w:b/>
          <w:b/>
          <w:sz w:val="20"/>
          <w:szCs w:val="20"/>
        </w:rPr>
      </w:pPr>
      <w:r>
        <w:rPr>
          <w:b/>
          <w:sz w:val="20"/>
          <w:szCs w:val="20"/>
        </w:rPr>
        <w:t>Generic form of the HCR recommended by SCRS in 2010</w:t>
      </w:r>
    </w:p>
    <w:p>
      <w:pPr>
        <w:pStyle w:val="Normal"/>
        <w:ind w:left="720" w:hanging="0"/>
        <w:jc w:val="center"/>
        <w:rPr>
          <w:rFonts w:ascii="Cambria" w:hAnsi="Cambria"/>
          <w:b/>
          <w:b/>
          <w:sz w:val="20"/>
          <w:szCs w:val="20"/>
        </w:rPr>
      </w:pPr>
      <w:r>
        <w:rPr>
          <w:b/>
          <w:sz w:val="20"/>
          <w:szCs w:val="20"/>
        </w:rPr>
        <w:t>that would be consistent with UNFSA (Report of the 2010 WGSAM)</w:t>
      </w:r>
    </w:p>
    <w:p>
      <w:pPr>
        <w:pStyle w:val="Normal"/>
        <w:ind w:left="720" w:hanging="0"/>
        <w:jc w:val="center"/>
        <w:rPr>
          <w:rFonts w:ascii="Cambria" w:hAnsi="Cambria"/>
          <w:b/>
          <w:b/>
          <w:sz w:val="20"/>
          <w:szCs w:val="20"/>
        </w:rPr>
      </w:pPr>
      <w:r>
        <w:rPr>
          <w:b/>
          <w:sz w:val="20"/>
          <w:szCs w:val="20"/>
        </w:rPr>
      </w:r>
    </w:p>
    <w:p>
      <w:pPr>
        <w:pStyle w:val="Normal"/>
        <w:spacing w:lineRule="auto" w:line="276" w:before="0" w:after="200"/>
        <w:ind w:left="720" w:hanging="0"/>
        <w:rPr>
          <w:rFonts w:ascii="Cambria" w:hAnsi="Cambria" w:eastAsia="Calibri"/>
          <w:b/>
          <w:b/>
          <w:smallCaps/>
          <w:color w:val="FF0000"/>
          <w:sz w:val="20"/>
          <w:szCs w:val="20"/>
        </w:rPr>
      </w:pPr>
      <w:r>
        <w:rPr/>
        <w:drawing>
          <wp:inline distT="0" distB="0" distL="0" distR="0">
            <wp:extent cx="5105400" cy="3232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9"/>
                    <a:stretch>
                      <a:fillRect/>
                    </a:stretch>
                  </pic:blipFill>
                  <pic:spPr bwMode="auto">
                    <a:xfrm>
                      <a:off x="0" y="0"/>
                      <a:ext cx="5105400" cy="3232150"/>
                    </a:xfrm>
                    <a:prstGeom prst="rect">
                      <a:avLst/>
                    </a:prstGeom>
                  </pic:spPr>
                </pic:pic>
              </a:graphicData>
            </a:graphic>
          </wp:inline>
        </w:drawing>
      </w:r>
    </w:p>
    <w:p>
      <w:pPr>
        <w:pStyle w:val="Normal"/>
        <w:spacing w:lineRule="auto" w:line="276" w:before="0" w:after="200"/>
        <w:ind w:left="360" w:hanging="0"/>
        <w:jc w:val="both"/>
        <w:rPr>
          <w:rFonts w:ascii="Cambria" w:hAnsi="Cambria" w:eastAsia="Calibri"/>
          <w:sz w:val="20"/>
          <w:szCs w:val="20"/>
          <w:lang w:val="en-GB"/>
        </w:rPr>
      </w:pPr>
      <w:r>
        <w:rPr>
          <w:rFonts w:eastAsia="Calibri"/>
          <w:sz w:val="20"/>
          <w:szCs w:val="20"/>
          <w:lang w:val="en-GB"/>
        </w:rPr>
      </w:r>
    </w:p>
    <w:p>
      <w:pPr>
        <w:pStyle w:val="Normal"/>
        <w:spacing w:lineRule="auto" w:line="254" w:before="0" w:after="160"/>
        <w:rPr>
          <w:rFonts w:ascii="Cambria" w:hAnsi="Cambria" w:eastAsia="Times New Roman"/>
          <w:b/>
          <w:b/>
          <w:sz w:val="20"/>
          <w:szCs w:val="20"/>
          <w:lang w:eastAsia="en-GB"/>
        </w:rPr>
      </w:pPr>
      <w:r>
        <w:rPr>
          <w:rFonts w:eastAsia="Times New Roman"/>
          <w:b/>
          <w:sz w:val="20"/>
          <w:szCs w:val="20"/>
          <w:lang w:eastAsia="en-GB"/>
        </w:rPr>
      </w:r>
    </w:p>
    <w:p>
      <w:pPr>
        <w:sectPr>
          <w:headerReference w:type="default" r:id="rId10"/>
          <w:footerReference w:type="default" r:id="rId11"/>
          <w:footnotePr>
            <w:numFmt w:val="decimal"/>
          </w:footnotePr>
          <w:type w:val="nextPage"/>
          <w:pgSz w:w="11906" w:h="16838"/>
          <w:pgMar w:left="1418" w:right="1418" w:header="851" w:top="1418" w:footer="1134" w:bottom="1418" w:gutter="0"/>
          <w:pgNumType w:fmt="decimal"/>
          <w:formProt w:val="false"/>
          <w:textDirection w:val="lrTb"/>
          <w:docGrid w:type="default" w:linePitch="240" w:charSpace="4294961151"/>
        </w:sectPr>
      </w:pPr>
    </w:p>
    <w:p>
      <w:pPr>
        <w:pStyle w:val="Normal"/>
        <w:spacing w:lineRule="auto" w:line="254"/>
        <w:rPr>
          <w:rFonts w:ascii="Cambria" w:hAnsi="Cambria"/>
          <w:b/>
          <w:b/>
          <w:sz w:val="20"/>
          <w:szCs w:val="20"/>
          <w:lang w:eastAsia="en-GB"/>
        </w:rPr>
      </w:pPr>
      <w:r>
        <w:rPr>
          <w:b/>
          <w:sz w:val="20"/>
          <w:szCs w:val="20"/>
          <w:lang w:eastAsia="en-GB"/>
        </w:rPr>
      </w:r>
    </w:p>
    <w:p>
      <w:pPr>
        <w:pStyle w:val="Normal"/>
        <w:jc w:val="right"/>
        <w:rPr>
          <w:rFonts w:ascii="Cambria" w:hAnsi="Cambria"/>
          <w:b/>
          <w:b/>
          <w:sz w:val="20"/>
          <w:szCs w:val="20"/>
          <w:u w:val="single"/>
          <w:lang w:eastAsia="en-GB"/>
        </w:rPr>
      </w:pPr>
      <w:r>
        <w:rPr>
          <w:b/>
          <w:sz w:val="20"/>
          <w:szCs w:val="20"/>
          <w:u w:val="single"/>
          <w:lang w:eastAsia="en-GB"/>
        </w:rPr>
        <w:t xml:space="preserve">Annex 2 </w:t>
      </w:r>
    </w:p>
    <w:p>
      <w:pPr>
        <w:pStyle w:val="Normal"/>
        <w:jc w:val="right"/>
        <w:rPr>
          <w:rFonts w:ascii="Cambria" w:hAnsi="Cambria"/>
          <w:b/>
          <w:b/>
          <w:sz w:val="20"/>
          <w:szCs w:val="20"/>
          <w:u w:val="single"/>
          <w:lang w:eastAsia="en-GB"/>
        </w:rPr>
      </w:pPr>
      <w:r>
        <w:rPr>
          <w:b/>
          <w:sz w:val="20"/>
          <w:szCs w:val="20"/>
          <w:u w:val="single"/>
          <w:lang w:eastAsia="en-GB"/>
        </w:rPr>
      </w:r>
    </w:p>
    <w:p>
      <w:pPr>
        <w:pStyle w:val="Normal"/>
        <w:spacing w:lineRule="auto" w:line="276" w:before="0" w:after="200"/>
        <w:ind w:left="720" w:hanging="0"/>
        <w:jc w:val="center"/>
        <w:rPr>
          <w:rFonts w:ascii="Cambria" w:hAnsi="Cambria"/>
          <w:b/>
          <w:b/>
          <w:sz w:val="20"/>
          <w:szCs w:val="20"/>
          <w:u w:val="single"/>
        </w:rPr>
      </w:pPr>
      <w:r>
        <w:rPr>
          <w:b/>
          <w:sz w:val="20"/>
          <w:szCs w:val="20"/>
          <w:u w:val="single"/>
        </w:rPr>
      </w:r>
    </w:p>
    <w:p>
      <w:pPr>
        <w:pStyle w:val="Normal"/>
        <w:spacing w:lineRule="auto" w:line="276" w:before="0" w:after="200"/>
        <w:ind w:left="720" w:hanging="0"/>
        <w:jc w:val="center"/>
        <w:rPr>
          <w:rFonts w:ascii="Cambria" w:hAnsi="Cambria"/>
          <w:b/>
          <w:b/>
          <w:sz w:val="20"/>
          <w:szCs w:val="20"/>
          <w:u w:val="single"/>
          <w:lang w:eastAsia="en-GB"/>
        </w:rPr>
      </w:pPr>
      <w:r>
        <w:rPr>
          <w:b/>
          <w:sz w:val="20"/>
          <w:szCs w:val="20"/>
          <w:u w:val="single"/>
        </w:rPr>
        <w:t>Indicative outline of the statistics to be provided by SCRS to support decision-making</w:t>
      </w:r>
    </w:p>
    <w:p>
      <w:pPr>
        <w:pStyle w:val="Normal"/>
        <w:jc w:val="both"/>
        <w:rPr>
          <w:rFonts w:ascii="Cambria" w:hAnsi="Cambria"/>
          <w:b/>
          <w:b/>
          <w:sz w:val="20"/>
          <w:szCs w:val="20"/>
          <w:u w:val="single"/>
          <w:lang w:eastAsia="en-GB"/>
        </w:rPr>
      </w:pPr>
      <w:r>
        <w:rPr>
          <w:b/>
          <w:sz w:val="20"/>
          <w:szCs w:val="20"/>
          <w:u w:val="single"/>
          <w:lang w:eastAsia="en-GB"/>
        </w:rPr>
      </w:r>
    </w:p>
    <w:tbl>
      <w:tblPr>
        <w:tblStyle w:val="TableGrid"/>
        <w:tblW w:w="9918" w:type="dxa"/>
        <w:jc w:val="center"/>
        <w:tblInd w:w="0" w:type="dxa"/>
        <w:tblCellMar>
          <w:top w:w="0" w:type="dxa"/>
          <w:left w:w="108" w:type="dxa"/>
          <w:bottom w:w="0" w:type="dxa"/>
          <w:right w:w="108" w:type="dxa"/>
        </w:tblCellMar>
        <w:tblLook w:val="04a0" w:noVBand="1" w:noHBand="0" w:lastColumn="0" w:firstColumn="1" w:lastRow="0" w:firstRow="1"/>
      </w:tblPr>
      <w:tblGrid>
        <w:gridCol w:w="4531"/>
        <w:gridCol w:w="2327"/>
        <w:gridCol w:w="3060"/>
      </w:tblGrid>
      <w:tr>
        <w:trPr/>
        <w:tc>
          <w:tcPr>
            <w:tcW w:w="4531" w:type="dxa"/>
            <w:tcBorders/>
            <w:shd w:fill="auto" w:val="clear"/>
            <w:tcMar>
              <w:left w:w="108" w:type="dxa"/>
            </w:tcMar>
          </w:tcPr>
          <w:p>
            <w:pPr>
              <w:pStyle w:val="Title"/>
              <w:spacing w:before="0" w:after="300"/>
              <w:contextualSpacing/>
              <w:jc w:val="center"/>
              <w:rPr>
                <w:rStyle w:val="BookTitle"/>
                <w:rFonts w:cs="Times New Roman"/>
                <w:color w:val="00000A"/>
                <w:sz w:val="20"/>
                <w:szCs w:val="20"/>
                <w:lang w:val="en-US"/>
              </w:rPr>
            </w:pPr>
            <w:r>
              <w:rPr>
                <w:rStyle w:val="BookTitle"/>
                <w:rFonts w:eastAsia="Cambria" w:cs="Times New Roman" w:ascii="Cambria" w:hAnsi="Cambria" w:eastAsiaTheme="minorHAnsi"/>
                <w:sz w:val="20"/>
                <w:szCs w:val="20"/>
                <w:u w:val="single"/>
                <w:lang w:val="en-US"/>
              </w:rPr>
              <w:t>Performance metrics and associated statistics</w:t>
            </w:r>
          </w:p>
        </w:tc>
        <w:tc>
          <w:tcPr>
            <w:tcW w:w="2327" w:type="dxa"/>
            <w:tcBorders/>
            <w:shd w:fill="auto" w:val="clear"/>
            <w:tcMar>
              <w:left w:w="108" w:type="dxa"/>
            </w:tcMar>
          </w:tcPr>
          <w:p>
            <w:pPr>
              <w:pStyle w:val="Title"/>
              <w:spacing w:before="0" w:after="300"/>
              <w:contextualSpacing/>
              <w:jc w:val="center"/>
              <w:rPr>
                <w:rStyle w:val="BookTitle"/>
                <w:rFonts w:ascii="Cambria" w:hAnsi="Cambria"/>
                <w:color w:val="00000A"/>
                <w:sz w:val="20"/>
                <w:szCs w:val="20"/>
                <w:u w:val="single"/>
              </w:rPr>
            </w:pPr>
            <w:r>
              <w:rPr>
                <w:rStyle w:val="BookTitle"/>
                <w:rFonts w:eastAsia="Cambria" w:cs="Times New Roman" w:ascii="Cambria" w:hAnsi="Cambria" w:eastAsiaTheme="minorHAnsi"/>
                <w:sz w:val="20"/>
                <w:szCs w:val="20"/>
                <w:u w:val="single"/>
                <w:lang w:val="fr-FR"/>
              </w:rPr>
              <w:t>Unit of measurement</w:t>
            </w:r>
          </w:p>
        </w:tc>
        <w:tc>
          <w:tcPr>
            <w:tcW w:w="3060" w:type="dxa"/>
            <w:tcBorders/>
            <w:shd w:fill="auto" w:val="clear"/>
            <w:tcMar>
              <w:left w:w="108" w:type="dxa"/>
            </w:tcMar>
          </w:tcPr>
          <w:p>
            <w:pPr>
              <w:pStyle w:val="Title"/>
              <w:spacing w:before="0" w:after="300"/>
              <w:contextualSpacing/>
              <w:jc w:val="center"/>
              <w:rPr>
                <w:rStyle w:val="BookTitle"/>
                <w:rFonts w:ascii="Cambria" w:hAnsi="Cambria"/>
                <w:color w:val="00000A"/>
                <w:sz w:val="20"/>
                <w:szCs w:val="20"/>
                <w:u w:val="single"/>
              </w:rPr>
            </w:pPr>
            <w:r>
              <w:rPr>
                <w:rStyle w:val="BookTitle"/>
                <w:rFonts w:eastAsia="Cambria" w:cs="Times New Roman" w:ascii="Cambria" w:hAnsi="Cambria" w:eastAsiaTheme="minorHAnsi"/>
                <w:sz w:val="20"/>
                <w:szCs w:val="20"/>
                <w:u w:val="single"/>
                <w:lang w:val="fr-FR"/>
              </w:rPr>
              <w:t>Type of statistics</w:t>
            </w:r>
          </w:p>
        </w:tc>
      </w:tr>
      <w:tr>
        <w:trPr/>
        <w:tc>
          <w:tcPr>
            <w:tcW w:w="4531" w:type="dxa"/>
            <w:tcBorders/>
            <w:shd w:fill="auto" w:val="clear"/>
            <w:tcMar>
              <w:left w:w="108" w:type="dxa"/>
            </w:tcMar>
          </w:tcPr>
          <w:p>
            <w:pPr>
              <w:pStyle w:val="Normal"/>
              <w:tabs>
                <w:tab w:val="left" w:pos="284" w:leader="none"/>
              </w:tabs>
              <w:jc w:val="both"/>
              <w:rPr>
                <w:lang w:val="en-US" w:eastAsia="en-GB"/>
              </w:rPr>
            </w:pPr>
            <w:r>
              <w:rPr>
                <w:rFonts w:eastAsia="Cambria" w:cs="Times New Roman" w:eastAsiaTheme="minorHAnsi"/>
                <w:b/>
                <w:sz w:val="20"/>
                <w:szCs w:val="20"/>
                <w:u w:val="single"/>
                <w:lang w:val="en-US" w:eastAsia="en-GB"/>
              </w:rPr>
              <w:t>1</w:t>
              <w:tab/>
              <w:t>Status: maximize probability of maintaining stock in the Kobe green zone</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1.1 Minimum spawner biomass relative to B</w:t>
            </w:r>
            <w:r>
              <w:rPr>
                <w:rFonts w:eastAsia="Cambria" w:cs="Times New Roman" w:eastAsiaTheme="minorHAnsi" w:ascii="Times New Roman" w:hAnsi="Times New Roman"/>
                <w:sz w:val="20"/>
                <w:szCs w:val="20"/>
                <w:u w:val="single"/>
                <w:vertAlign w:val="subscript"/>
                <w:lang w:val="fr-FR" w:eastAsia="en-GB"/>
              </w:rPr>
              <w:t>MSY</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ascii="Times New Roman" w:hAnsi="Times New Roman"/>
                <w:sz w:val="20"/>
                <w:szCs w:val="20"/>
                <w:u w:val="single"/>
                <w:lang w:val="fr-FR" w:eastAsia="en-GB"/>
              </w:rPr>
              <w:t>B/ B</w:t>
            </w:r>
            <w:r>
              <w:rPr>
                <w:rFonts w:eastAsia="Cambria" w:cs="Times New Roman" w:eastAsiaTheme="minorHAnsi" w:ascii="Times New Roman" w:hAnsi="Times New Roman"/>
                <w:sz w:val="20"/>
                <w:szCs w:val="20"/>
                <w:u w:val="single"/>
                <w:vertAlign w:val="subscript"/>
                <w:lang w:val="fr-FR" w:eastAsia="en-GB"/>
              </w:rPr>
              <w:t>MSY</w:t>
            </w:r>
          </w:p>
        </w:tc>
        <w:tc>
          <w:tcPr>
            <w:tcW w:w="3060" w:type="dxa"/>
            <w:tcBorders/>
            <w:shd w:fill="auto" w:val="clear"/>
            <w:tcMar>
              <w:left w:w="108" w:type="dxa"/>
            </w:tcMar>
          </w:tcPr>
          <w:p>
            <w:pPr>
              <w:pStyle w:val="Normal"/>
              <w:jc w:val="both"/>
              <w:rPr>
                <w:rFonts w:ascii="Cambria" w:hAnsi="Cambria"/>
                <w:u w:val="single"/>
                <w:lang w:eastAsia="en-GB"/>
              </w:rPr>
            </w:pPr>
            <w:r>
              <w:rPr>
                <w:rFonts w:eastAsia="Cambria" w:cs="Times New Roman" w:eastAsiaTheme="minorHAnsi"/>
                <w:sz w:val="20"/>
                <w:szCs w:val="20"/>
                <w:u w:val="single"/>
                <w:lang w:val="fr-FR" w:eastAsia="en-GB"/>
              </w:rPr>
              <w:t>Minimum over [x] years</w:t>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1.2 Mean spawner biomass relative to B</w:t>
            </w:r>
            <w:r>
              <w:rPr>
                <w:rFonts w:eastAsia="Cambria" w:cs="Times New Roman" w:eastAsiaTheme="minorHAnsi" w:ascii="Times New Roman" w:hAnsi="Times New Roman"/>
                <w:sz w:val="20"/>
                <w:szCs w:val="20"/>
                <w:u w:val="single"/>
                <w:vertAlign w:val="subscript"/>
                <w:lang w:val="fr-FR" w:eastAsia="en-GB"/>
              </w:rPr>
              <w:t>MSY</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ascii="Times New Roman" w:hAnsi="Times New Roman"/>
                <w:sz w:val="20"/>
                <w:szCs w:val="20"/>
                <w:u w:val="single"/>
                <w:lang w:val="fr-FR" w:eastAsia="en-GB"/>
              </w:rPr>
              <w:t>B/ B</w:t>
            </w:r>
            <w:r>
              <w:rPr>
                <w:rFonts w:eastAsia="Cambria" w:cs="Times New Roman" w:eastAsiaTheme="minorHAnsi" w:ascii="Times New Roman" w:hAnsi="Times New Roman"/>
                <w:sz w:val="20"/>
                <w:szCs w:val="20"/>
                <w:u w:val="single"/>
                <w:vertAlign w:val="subscript"/>
                <w:lang w:val="fr-FR" w:eastAsia="en-GB"/>
              </w:rPr>
              <w:t>MSY</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sz w:val="20"/>
                <w:szCs w:val="20"/>
                <w:u w:val="single"/>
                <w:lang w:val="en-US" w:eastAsia="en-GB"/>
              </w:rPr>
              <w:t>Geometric mean over [x] years</w:t>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1.3 Mean fishing mortality relative to F</w:t>
            </w:r>
            <w:r>
              <w:rPr>
                <w:rFonts w:eastAsia="Cambria" w:cs="Times New Roman" w:eastAsiaTheme="minorHAnsi" w:ascii="Times New Roman" w:hAnsi="Times New Roman"/>
                <w:sz w:val="20"/>
                <w:szCs w:val="20"/>
                <w:u w:val="single"/>
                <w:vertAlign w:val="subscript"/>
                <w:lang w:val="fr-FR" w:eastAsia="en-GB"/>
              </w:rPr>
              <w:t>MSY</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ascii="Times New Roman" w:hAnsi="Times New Roman"/>
                <w:sz w:val="20"/>
                <w:szCs w:val="20"/>
                <w:u w:val="single"/>
                <w:lang w:val="fr-FR" w:eastAsia="en-GB"/>
              </w:rPr>
              <w:t>F/ F</w:t>
            </w:r>
            <w:r>
              <w:rPr>
                <w:rFonts w:eastAsia="Cambria" w:cs="Times New Roman" w:eastAsiaTheme="minorHAnsi" w:ascii="Times New Roman" w:hAnsi="Times New Roman"/>
                <w:sz w:val="20"/>
                <w:szCs w:val="20"/>
                <w:u w:val="single"/>
                <w:vertAlign w:val="subscript"/>
                <w:lang w:val="fr-FR" w:eastAsia="en-GB"/>
              </w:rPr>
              <w:t>MSY</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sz w:val="20"/>
                <w:szCs w:val="20"/>
                <w:u w:val="single"/>
                <w:lang w:val="en-US" w:eastAsia="en-GB"/>
              </w:rPr>
              <w:t>Geometric mean over [x] years</w:t>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sz w:val="20"/>
                <w:szCs w:val="20"/>
                <w:u w:val="single"/>
                <w:lang w:val="en-US" w:eastAsia="en-GB"/>
              </w:rPr>
              <w:t>1.4 Probability of being in the Kobe green quadrant</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B, F</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Proportion of years that B≥B</w:t>
            </w:r>
            <w:r>
              <w:rPr>
                <w:rFonts w:eastAsia="Cambria" w:cs="Times New Roman" w:eastAsiaTheme="minorHAnsi" w:ascii="Times New Roman" w:hAnsi="Times New Roman"/>
                <w:sz w:val="20"/>
                <w:szCs w:val="20"/>
                <w:u w:val="single"/>
                <w:vertAlign w:val="subscript"/>
                <w:lang w:val="fr-FR" w:eastAsia="en-GB"/>
              </w:rPr>
              <w:t>MSY</w:t>
            </w:r>
            <w:r>
              <w:rPr>
                <w:rFonts w:eastAsia="Cambria" w:cs="Times New Roman" w:eastAsiaTheme="minorHAnsi" w:ascii="Times New Roman" w:hAnsi="Times New Roman"/>
                <w:sz w:val="20"/>
                <w:szCs w:val="20"/>
                <w:u w:val="single"/>
                <w:lang w:val="fr-FR" w:eastAsia="en-GB"/>
              </w:rPr>
              <w:t xml:space="preserve"> &amp; F≤F</w:t>
            </w:r>
            <w:r>
              <w:rPr>
                <w:rFonts w:eastAsia="Cambria" w:cs="Times New Roman" w:eastAsiaTheme="minorHAnsi" w:ascii="Times New Roman" w:hAnsi="Times New Roman"/>
                <w:sz w:val="20"/>
                <w:szCs w:val="20"/>
                <w:u w:val="single"/>
                <w:vertAlign w:val="subscript"/>
                <w:lang w:val="fr-FR" w:eastAsia="en-GB"/>
              </w:rPr>
              <w:t>MSY</w:t>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sz w:val="20"/>
                <w:szCs w:val="20"/>
                <w:u w:val="single"/>
                <w:lang w:val="en-US" w:eastAsia="en-GB"/>
              </w:rPr>
              <w:t>1.5 Probability of being in the Kobe red quadrant</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B, F</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Proportion of years that B≤B</w:t>
            </w:r>
            <w:r>
              <w:rPr>
                <w:rFonts w:eastAsia="Cambria" w:cs="Times New Roman" w:eastAsiaTheme="minorHAnsi" w:ascii="Times New Roman" w:hAnsi="Times New Roman"/>
                <w:sz w:val="20"/>
                <w:szCs w:val="20"/>
                <w:u w:val="single"/>
                <w:vertAlign w:val="subscript"/>
                <w:lang w:val="fr-FR" w:eastAsia="en-GB"/>
              </w:rPr>
              <w:t>MSY</w:t>
            </w:r>
            <w:r>
              <w:rPr>
                <w:rFonts w:eastAsia="Cambria" w:cs="Times New Roman" w:eastAsiaTheme="minorHAnsi" w:ascii="Times New Roman" w:hAnsi="Times New Roman"/>
                <w:sz w:val="20"/>
                <w:szCs w:val="20"/>
                <w:u w:val="single"/>
                <w:lang w:val="fr-FR" w:eastAsia="en-GB"/>
              </w:rPr>
              <w:t xml:space="preserve"> &amp; F≥F</w:t>
            </w:r>
            <w:r>
              <w:rPr>
                <w:rFonts w:eastAsia="Cambria" w:cs="Times New Roman" w:eastAsiaTheme="minorHAnsi" w:ascii="Times New Roman" w:hAnsi="Times New Roman"/>
                <w:sz w:val="20"/>
                <w:szCs w:val="20"/>
                <w:u w:val="single"/>
                <w:vertAlign w:val="subscript"/>
                <w:lang w:val="fr-FR" w:eastAsia="en-GB"/>
              </w:rPr>
              <w:t>MSY</w:t>
            </w:r>
          </w:p>
        </w:tc>
      </w:tr>
      <w:tr>
        <w:trPr/>
        <w:tc>
          <w:tcPr>
            <w:tcW w:w="4531"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tabs>
                <w:tab w:val="left" w:pos="284" w:leader="none"/>
              </w:tabs>
              <w:jc w:val="both"/>
              <w:rPr>
                <w:rFonts w:ascii="Cambria" w:hAnsi="Cambria"/>
                <w:b/>
                <w:b/>
                <w:u w:val="single"/>
                <w:lang w:val="en-US" w:eastAsia="en-GB"/>
              </w:rPr>
            </w:pPr>
            <w:r>
              <w:rPr>
                <w:rFonts w:eastAsia="Cambria" w:cs="Times New Roman" w:eastAsiaTheme="minorHAnsi"/>
                <w:b/>
                <w:sz w:val="20"/>
                <w:szCs w:val="20"/>
                <w:u w:val="single"/>
                <w:lang w:val="en-US" w:eastAsia="en-GB"/>
              </w:rPr>
              <w:t>2</w:t>
              <w:tab/>
              <w:t>Safety: maximize the probability of the stock remaining above the biomass limit</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2.1 Probability that spawner biomass is above B</w:t>
            </w:r>
            <w:r>
              <w:rPr>
                <w:rFonts w:eastAsia="Cambria" w:cs="Times New Roman" w:eastAsiaTheme="minorHAnsi" w:ascii="Times New Roman" w:hAnsi="Times New Roman"/>
                <w:sz w:val="20"/>
                <w:szCs w:val="20"/>
                <w:u w:val="single"/>
                <w:vertAlign w:val="subscript"/>
                <w:lang w:val="fr-FR" w:eastAsia="en-GB"/>
              </w:rPr>
              <w:t xml:space="preserve">lim </w:t>
            </w:r>
            <w:r>
              <w:rPr>
                <w:rFonts w:eastAsia="Cambria" w:cs="Times New Roman" w:eastAsiaTheme="minorHAnsi" w:ascii="Times New Roman" w:hAnsi="Times New Roman"/>
                <w:sz w:val="20"/>
                <w:szCs w:val="20"/>
                <w:u w:val="single"/>
                <w:lang w:val="fr-FR" w:eastAsia="en-GB"/>
              </w:rPr>
              <w:t>(0.4B</w:t>
            </w:r>
            <w:r>
              <w:rPr>
                <w:rFonts w:eastAsia="Cambria" w:cs="Times New Roman" w:eastAsiaTheme="minorHAnsi" w:ascii="Times New Roman" w:hAnsi="Times New Roman"/>
                <w:sz w:val="20"/>
                <w:szCs w:val="20"/>
                <w:u w:val="single"/>
                <w:vertAlign w:val="subscript"/>
                <w:lang w:val="fr-FR" w:eastAsia="en-GB"/>
              </w:rPr>
              <w:t>MSY</w:t>
            </w:r>
            <w:r>
              <w:rPr>
                <w:rFonts w:eastAsia="Cambria" w:cs="Times New Roman" w:eastAsiaTheme="minorHAnsi" w:ascii="Times New Roman" w:hAnsi="Times New Roman"/>
                <w:sz w:val="20"/>
                <w:szCs w:val="20"/>
                <w:u w:val="single"/>
                <w:lang w:val="fr-FR" w:eastAsia="en-GB"/>
              </w:rPr>
              <w:t>)</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sz w:val="20"/>
                <w:szCs w:val="20"/>
                <w:u w:val="single"/>
                <w:lang w:val="fr-FR" w:eastAsia="en-GB"/>
              </w:rPr>
            </w:pPr>
            <w:r>
              <w:rPr>
                <w:rFonts w:eastAsia="Cambria" w:cs="Times New Roman" w:eastAsiaTheme="minorHAnsi" w:ascii="Times New Roman" w:hAnsi="Times New Roman"/>
                <w:sz w:val="20"/>
                <w:szCs w:val="20"/>
                <w:u w:val="single"/>
                <w:lang w:val="fr-FR" w:eastAsia="en-GB"/>
              </w:rPr>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Proportion of years that B&gt;B</w:t>
            </w:r>
            <w:r>
              <w:rPr>
                <w:rFonts w:eastAsia="Cambria" w:cs="Times New Roman" w:eastAsiaTheme="minorHAnsi" w:ascii="Times New Roman" w:hAnsi="Times New Roman"/>
                <w:sz w:val="20"/>
                <w:szCs w:val="20"/>
                <w:u w:val="single"/>
                <w:vertAlign w:val="subscript"/>
                <w:lang w:val="fr-FR" w:eastAsia="en-GB"/>
              </w:rPr>
              <w:t>lim</w:t>
            </w:r>
          </w:p>
        </w:tc>
      </w:tr>
      <w:tr>
        <w:trPr/>
        <w:tc>
          <w:tcPr>
            <w:tcW w:w="4531"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tabs>
                <w:tab w:val="left" w:pos="284" w:leader="none"/>
              </w:tabs>
              <w:jc w:val="both"/>
              <w:rPr>
                <w:rFonts w:ascii="Cambria" w:hAnsi="Cambria"/>
                <w:b/>
                <w:b/>
                <w:u w:val="single"/>
                <w:lang w:eastAsia="en-GB"/>
              </w:rPr>
            </w:pPr>
            <w:r>
              <w:rPr>
                <w:rFonts w:eastAsia="Cambria" w:cs="Times New Roman" w:eastAsiaTheme="minorHAnsi"/>
                <w:b/>
                <w:sz w:val="20"/>
                <w:szCs w:val="20"/>
                <w:u w:val="single"/>
                <w:lang w:val="fr-FR" w:eastAsia="en-GB"/>
              </w:rPr>
              <w:t>3</w:t>
              <w:tab/>
              <w:t>Yield: maximize catches</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ind w:left="284" w:hanging="0"/>
              <w:jc w:val="both"/>
              <w:rPr>
                <w:rFonts w:ascii="Cambria" w:hAnsi="Cambria"/>
                <w:u w:val="single"/>
                <w:lang w:eastAsia="en-GB"/>
              </w:rPr>
            </w:pPr>
            <w:r>
              <w:rPr>
                <w:rFonts w:eastAsia="Cambria" w:cs="Times New Roman" w:eastAsiaTheme="minorHAnsi"/>
                <w:sz w:val="20"/>
                <w:szCs w:val="20"/>
                <w:u w:val="single"/>
                <w:lang w:val="fr-FR" w:eastAsia="en-GB"/>
              </w:rPr>
              <w:t>3.1 Mean catch</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sz w:val="20"/>
                <w:szCs w:val="20"/>
                <w:u w:val="single"/>
                <w:lang w:val="fr-FR" w:eastAsia="en-GB"/>
              </w:rPr>
            </w:pPr>
            <w:r>
              <w:rPr>
                <w:rFonts w:eastAsia="Cambria" w:cs="Times New Roman" w:eastAsiaTheme="minorHAnsi" w:ascii="Times New Roman" w:hAnsi="Times New Roman"/>
                <w:sz w:val="20"/>
                <w:szCs w:val="20"/>
                <w:u w:val="single"/>
                <w:lang w:val="fr-FR" w:eastAsia="en-GB"/>
              </w:rPr>
            </w:r>
          </w:p>
        </w:tc>
        <w:tc>
          <w:tcPr>
            <w:tcW w:w="3060" w:type="dxa"/>
            <w:tcBorders/>
            <w:shd w:fill="auto" w:val="clear"/>
            <w:tcMar>
              <w:left w:w="108" w:type="dxa"/>
            </w:tcMar>
          </w:tcPr>
          <w:p>
            <w:pPr>
              <w:pStyle w:val="Normal"/>
              <w:jc w:val="both"/>
              <w:rPr>
                <w:rFonts w:ascii="Cambria" w:hAnsi="Cambria"/>
                <w:u w:val="single"/>
                <w:lang w:eastAsia="en-GB"/>
              </w:rPr>
            </w:pPr>
            <w:r>
              <w:rPr>
                <w:rFonts w:eastAsia="Cambria" w:cs="Times New Roman" w:eastAsiaTheme="minorHAnsi"/>
                <w:sz w:val="20"/>
                <w:szCs w:val="20"/>
                <w:u w:val="single"/>
                <w:lang w:val="fr-FR" w:eastAsia="en-GB"/>
              </w:rPr>
              <w:t>Mean over [x] years</w:t>
            </w:r>
          </w:p>
        </w:tc>
      </w:tr>
      <w:tr>
        <w:trPr/>
        <w:tc>
          <w:tcPr>
            <w:tcW w:w="4531"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tabs>
                <w:tab w:val="left" w:pos="284" w:leader="none"/>
              </w:tabs>
              <w:jc w:val="both"/>
              <w:rPr>
                <w:rFonts w:ascii="Cambria" w:hAnsi="Cambria"/>
                <w:b/>
                <w:b/>
                <w:u w:val="single"/>
                <w:lang w:val="en-US" w:eastAsia="en-GB"/>
              </w:rPr>
            </w:pPr>
            <w:r>
              <w:rPr>
                <w:rFonts w:eastAsia="Cambria" w:cs="Times New Roman" w:eastAsiaTheme="minorHAnsi"/>
                <w:b/>
                <w:sz w:val="20"/>
                <w:szCs w:val="20"/>
                <w:u w:val="single"/>
                <w:lang w:val="en-US" w:eastAsia="en-GB"/>
              </w:rPr>
              <w:t>4</w:t>
              <w:tab/>
              <w:t>Abundance: maximize catch rates to enhance fishery profitability</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ind w:left="284" w:hanging="0"/>
              <w:jc w:val="both"/>
              <w:rPr>
                <w:rFonts w:ascii="Cambria" w:hAnsi="Cambria"/>
                <w:u w:val="single"/>
                <w:lang w:eastAsia="en-GB"/>
              </w:rPr>
            </w:pPr>
            <w:r>
              <w:rPr>
                <w:rFonts w:eastAsia="Cambria" w:cs="Times New Roman" w:eastAsiaTheme="minorHAnsi"/>
                <w:sz w:val="20"/>
                <w:szCs w:val="20"/>
                <w:u w:val="single"/>
                <w:lang w:val="fr-FR" w:eastAsia="en-GB"/>
              </w:rPr>
              <w:t>4.1 Mean catch rates (CPUEs)</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CPUE</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sz w:val="20"/>
                <w:szCs w:val="20"/>
                <w:u w:val="single"/>
                <w:lang w:val="en-US" w:eastAsia="en-GB"/>
              </w:rPr>
              <w:t>Geometric mean over [x] years</w:t>
            </w:r>
          </w:p>
        </w:tc>
      </w:tr>
      <w:tr>
        <w:trPr/>
        <w:tc>
          <w:tcPr>
            <w:tcW w:w="4531"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tabs>
                <w:tab w:val="left" w:pos="284" w:leader="none"/>
              </w:tabs>
              <w:jc w:val="both"/>
              <w:rPr>
                <w:rFonts w:ascii="Cambria" w:hAnsi="Cambria"/>
                <w:b/>
                <w:b/>
                <w:u w:val="single"/>
                <w:lang w:val="en-US" w:eastAsia="en-GB"/>
              </w:rPr>
            </w:pPr>
            <w:r>
              <w:rPr>
                <w:rFonts w:eastAsia="Cambria" w:cs="Times New Roman" w:eastAsiaTheme="minorHAnsi"/>
                <w:b/>
                <w:sz w:val="20"/>
                <w:szCs w:val="20"/>
                <w:u w:val="single"/>
                <w:lang w:val="en-US" w:eastAsia="en-GB"/>
              </w:rPr>
              <w:t>5</w:t>
              <w:tab/>
              <w:t>Stability: maximize stability in catches</w:t>
            </w:r>
          </w:p>
        </w:tc>
        <w:tc>
          <w:tcPr>
            <w:tcW w:w="2327" w:type="dxa"/>
            <w:tcBorders/>
            <w:shd w:fill="auto" w:val="clear"/>
            <w:tcMar>
              <w:left w:w="108" w:type="dxa"/>
            </w:tcMar>
          </w:tcPr>
          <w:p>
            <w:pPr>
              <w:pStyle w:val="Normal"/>
              <w:jc w:val="center"/>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c>
          <w:tcPr>
            <w:tcW w:w="3060" w:type="dxa"/>
            <w:tcBorders/>
            <w:shd w:fill="auto" w:val="clear"/>
            <w:tcMar>
              <w:left w:w="108" w:type="dxa"/>
            </w:tcMar>
          </w:tcPr>
          <w:p>
            <w:pPr>
              <w:pStyle w:val="Normal"/>
              <w:jc w:val="both"/>
              <w:rPr>
                <w:rFonts w:ascii="Times New Roman" w:hAnsi="Times New Roman" w:eastAsia="Cambria" w:cs="Times New Roman" w:eastAsiaTheme="minorHAnsi"/>
                <w:b/>
                <w:b/>
                <w:sz w:val="20"/>
                <w:szCs w:val="20"/>
                <w:u w:val="single"/>
                <w:lang w:val="fr-FR" w:eastAsia="en-GB"/>
              </w:rPr>
            </w:pPr>
            <w:r>
              <w:rPr>
                <w:rFonts w:eastAsia="Cambria" w:cs="Times New Roman" w:eastAsiaTheme="minorHAnsi" w:ascii="Times New Roman" w:hAnsi="Times New Roman"/>
                <w:b/>
                <w:sz w:val="20"/>
                <w:szCs w:val="20"/>
                <w:u w:val="single"/>
                <w:lang w:val="fr-FR" w:eastAsia="en-GB"/>
              </w:rPr>
            </w:r>
          </w:p>
        </w:tc>
      </w:tr>
      <w:tr>
        <w:trPr/>
        <w:tc>
          <w:tcPr>
            <w:tcW w:w="4531" w:type="dxa"/>
            <w:tcBorders/>
            <w:shd w:fill="auto" w:val="clear"/>
            <w:tcMar>
              <w:left w:w="108" w:type="dxa"/>
            </w:tcMar>
          </w:tcPr>
          <w:p>
            <w:pPr>
              <w:pStyle w:val="Normal"/>
              <w:ind w:left="284" w:hanging="0"/>
              <w:jc w:val="both"/>
              <w:rPr>
                <w:rFonts w:ascii="Cambria" w:hAnsi="Cambria"/>
                <w:u w:val="single"/>
                <w:lang w:val="en-US" w:eastAsia="en-GB"/>
              </w:rPr>
            </w:pPr>
            <w:r>
              <w:rPr>
                <w:rFonts w:eastAsia="Cambria" w:cs="Times New Roman" w:eastAsiaTheme="minorHAnsi"/>
                <w:sz w:val="20"/>
                <w:szCs w:val="20"/>
                <w:u w:val="single"/>
                <w:lang w:val="en-US" w:eastAsia="en-GB"/>
              </w:rPr>
              <w:t>5.1 Mean absolute proportional change in catch</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Catch (C)</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ascii="Times New Roman" w:hAnsi="Times New Roman"/>
                <w:sz w:val="20"/>
                <w:szCs w:val="20"/>
                <w:u w:val="single"/>
                <w:lang w:val="fr-FR" w:eastAsia="en-GB"/>
              </w:rPr>
              <w:t>Mean over [x] years of |(C</w:t>
            </w:r>
            <w:r>
              <w:rPr>
                <w:rFonts w:eastAsia="Cambria" w:cs="Times New Roman" w:eastAsiaTheme="minorHAnsi" w:ascii="Times New Roman" w:hAnsi="Times New Roman"/>
                <w:sz w:val="20"/>
                <w:szCs w:val="20"/>
                <w:u w:val="single"/>
                <w:vertAlign w:val="subscript"/>
                <w:lang w:val="fr-FR" w:eastAsia="en-GB"/>
              </w:rPr>
              <w:t>n</w:t>
            </w:r>
            <w:r>
              <w:rPr>
                <w:rFonts w:eastAsia="Cambria" w:cs="Times New Roman" w:eastAsiaTheme="minorHAnsi" w:ascii="Times New Roman" w:hAnsi="Times New Roman"/>
                <w:sz w:val="20"/>
                <w:szCs w:val="20"/>
                <w:u w:val="single"/>
                <w:lang w:val="fr-FR" w:eastAsia="en-GB"/>
              </w:rPr>
              <w:t>-C</w:t>
            </w:r>
            <w:r>
              <w:rPr>
                <w:rFonts w:eastAsia="Cambria" w:cs="Times New Roman" w:eastAsiaTheme="minorHAnsi" w:ascii="Times New Roman" w:hAnsi="Times New Roman"/>
                <w:sz w:val="20"/>
                <w:szCs w:val="20"/>
                <w:u w:val="single"/>
                <w:vertAlign w:val="subscript"/>
                <w:lang w:val="fr-FR" w:eastAsia="en-GB"/>
              </w:rPr>
              <w:t>n-1</w:t>
            </w:r>
            <w:r>
              <w:rPr>
                <w:rFonts w:eastAsia="Cambria" w:cs="Times New Roman" w:eastAsiaTheme="minorHAnsi" w:ascii="Times New Roman" w:hAnsi="Times New Roman"/>
                <w:sz w:val="20"/>
                <w:szCs w:val="20"/>
                <w:u w:val="single"/>
                <w:lang w:val="fr-FR" w:eastAsia="en-GB"/>
              </w:rPr>
              <w:t>/ C</w:t>
            </w:r>
            <w:r>
              <w:rPr>
                <w:rFonts w:eastAsia="Cambria" w:cs="Times New Roman" w:eastAsiaTheme="minorHAnsi" w:ascii="Times New Roman" w:hAnsi="Times New Roman"/>
                <w:sz w:val="20"/>
                <w:szCs w:val="20"/>
                <w:u w:val="single"/>
                <w:vertAlign w:val="subscript"/>
                <w:lang w:val="fr-FR" w:eastAsia="en-GB"/>
              </w:rPr>
              <w:t>n-1</w:t>
            </w:r>
            <w:r>
              <w:rPr>
                <w:rFonts w:eastAsia="Cambria" w:cs="Times New Roman" w:eastAsiaTheme="minorHAnsi" w:ascii="Times New Roman" w:hAnsi="Times New Roman"/>
                <w:sz w:val="20"/>
                <w:szCs w:val="20"/>
                <w:u w:val="single"/>
                <w:lang w:val="fr-FR" w:eastAsia="en-GB"/>
              </w:rPr>
              <w:t>|</w:t>
            </w:r>
          </w:p>
        </w:tc>
      </w:tr>
      <w:tr>
        <w:trPr/>
        <w:tc>
          <w:tcPr>
            <w:tcW w:w="4531" w:type="dxa"/>
            <w:tcBorders/>
            <w:shd w:fill="auto" w:val="clear"/>
            <w:tcMar>
              <w:left w:w="108" w:type="dxa"/>
            </w:tcMar>
          </w:tcPr>
          <w:p>
            <w:pPr>
              <w:pStyle w:val="Normal"/>
              <w:ind w:left="284" w:hanging="0"/>
              <w:jc w:val="both"/>
              <w:rPr>
                <w:rFonts w:ascii="Cambria" w:hAnsi="Cambria"/>
                <w:u w:val="single"/>
                <w:lang w:eastAsia="en-GB"/>
              </w:rPr>
            </w:pPr>
            <w:r>
              <w:rPr>
                <w:rFonts w:eastAsia="Cambria" w:cs="Times New Roman" w:eastAsiaTheme="minorHAnsi"/>
                <w:sz w:val="20"/>
                <w:szCs w:val="20"/>
                <w:u w:val="single"/>
                <w:lang w:val="fr-FR" w:eastAsia="en-GB"/>
              </w:rPr>
              <w:t>5.2 Variance in catch</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Catch (C)</w:t>
            </w:r>
          </w:p>
        </w:tc>
        <w:tc>
          <w:tcPr>
            <w:tcW w:w="3060" w:type="dxa"/>
            <w:tcBorders/>
            <w:shd w:fill="auto" w:val="clear"/>
            <w:tcMar>
              <w:left w:w="108" w:type="dxa"/>
            </w:tcMar>
          </w:tcPr>
          <w:p>
            <w:pPr>
              <w:pStyle w:val="Normal"/>
              <w:jc w:val="both"/>
              <w:rPr>
                <w:rFonts w:ascii="Cambria" w:hAnsi="Cambria"/>
                <w:u w:val="single"/>
                <w:lang w:eastAsia="en-GB"/>
              </w:rPr>
            </w:pPr>
            <w:r>
              <w:rPr>
                <w:rFonts w:eastAsia="Cambria" w:cs="Times New Roman" w:eastAsiaTheme="minorHAnsi"/>
                <w:sz w:val="20"/>
                <w:szCs w:val="20"/>
                <w:u w:val="single"/>
                <w:lang w:val="fr-FR" w:eastAsia="en-GB"/>
              </w:rPr>
              <w:t>Variance over [x] years</w:t>
            </w:r>
          </w:p>
        </w:tc>
      </w:tr>
      <w:tr>
        <w:trPr/>
        <w:tc>
          <w:tcPr>
            <w:tcW w:w="4531" w:type="dxa"/>
            <w:tcBorders/>
            <w:shd w:fill="auto" w:val="clear"/>
            <w:tcMar>
              <w:left w:w="108" w:type="dxa"/>
            </w:tcMar>
          </w:tcPr>
          <w:p>
            <w:pPr>
              <w:pStyle w:val="Normal"/>
              <w:ind w:left="284" w:hanging="0"/>
              <w:jc w:val="both"/>
              <w:rPr>
                <w:rFonts w:ascii="Cambria" w:hAnsi="Cambria"/>
                <w:u w:val="single"/>
                <w:lang w:eastAsia="en-GB"/>
              </w:rPr>
            </w:pPr>
            <w:r>
              <w:rPr>
                <w:rFonts w:eastAsia="Cambria" w:cs="Times New Roman" w:eastAsiaTheme="minorHAnsi"/>
                <w:sz w:val="20"/>
                <w:szCs w:val="20"/>
                <w:u w:val="single"/>
                <w:lang w:val="fr-FR" w:eastAsia="en-GB"/>
              </w:rPr>
              <w:t>5.3 Probability in shutdown</w:t>
            </w:r>
          </w:p>
        </w:tc>
        <w:tc>
          <w:tcPr>
            <w:tcW w:w="2327" w:type="dxa"/>
            <w:tcBorders/>
            <w:shd w:fill="auto" w:val="clear"/>
            <w:tcMar>
              <w:left w:w="108" w:type="dxa"/>
            </w:tcMar>
          </w:tcPr>
          <w:p>
            <w:pPr>
              <w:pStyle w:val="Normal"/>
              <w:jc w:val="center"/>
              <w:rPr>
                <w:rFonts w:ascii="Cambria" w:hAnsi="Cambria"/>
                <w:u w:val="single"/>
                <w:lang w:eastAsia="en-GB"/>
              </w:rPr>
            </w:pPr>
            <w:r>
              <w:rPr>
                <w:rFonts w:eastAsia="Cambria" w:cs="Times New Roman" w:eastAsiaTheme="minorHAnsi"/>
                <w:sz w:val="20"/>
                <w:szCs w:val="20"/>
                <w:u w:val="single"/>
                <w:lang w:val="fr-FR" w:eastAsia="en-GB"/>
              </w:rPr>
              <w:t>Catch (C)</w:t>
            </w:r>
          </w:p>
        </w:tc>
        <w:tc>
          <w:tcPr>
            <w:tcW w:w="3060" w:type="dxa"/>
            <w:tcBorders/>
            <w:shd w:fill="auto" w:val="clear"/>
            <w:tcMar>
              <w:left w:w="108" w:type="dxa"/>
            </w:tcMar>
          </w:tcPr>
          <w:p>
            <w:pPr>
              <w:pStyle w:val="Normal"/>
              <w:jc w:val="both"/>
              <w:rPr>
                <w:rFonts w:ascii="Cambria" w:hAnsi="Cambria"/>
                <w:u w:val="single"/>
                <w:lang w:val="en-US" w:eastAsia="en-GB"/>
              </w:rPr>
            </w:pPr>
            <w:r>
              <w:rPr>
                <w:rFonts w:eastAsia="Cambria" w:cs="Times New Roman" w:eastAsiaTheme="minorHAnsi"/>
                <w:sz w:val="20"/>
                <w:szCs w:val="20"/>
                <w:u w:val="single"/>
                <w:lang w:val="en-US" w:eastAsia="en-GB"/>
              </w:rPr>
              <w:t>Proportion of years that C=0</w:t>
            </w:r>
          </w:p>
        </w:tc>
      </w:tr>
    </w:tbl>
    <w:p>
      <w:pPr>
        <w:pStyle w:val="Normal"/>
        <w:jc w:val="both"/>
        <w:rPr>
          <w:rFonts w:ascii="Cambria" w:hAnsi="Cambria" w:eastAsia="Times New Roman"/>
          <w:b/>
          <w:b/>
          <w:sz w:val="20"/>
          <w:szCs w:val="20"/>
          <w:u w:val="single"/>
          <w:lang w:eastAsia="en-GB"/>
        </w:rPr>
      </w:pPr>
      <w:r>
        <w:rPr>
          <w:rFonts w:eastAsia="Times New Roman"/>
          <w:b/>
          <w:sz w:val="20"/>
          <w:szCs w:val="20"/>
          <w:u w:val="single"/>
          <w:lang w:eastAsia="en-GB"/>
        </w:rPr>
      </w:r>
    </w:p>
    <w:p>
      <w:pPr>
        <w:sectPr>
          <w:footnotePr>
            <w:numFmt w:val="decimal"/>
          </w:footnotePr>
          <w:type w:val="continuous"/>
          <w:pgSz w:w="11906" w:h="16838"/>
          <w:pgMar w:left="1418" w:right="1418" w:header="851" w:top="1418" w:footer="1134" w:bottom="1418" w:gutter="0"/>
          <w:formProt w:val="false"/>
          <w:textDirection w:val="lrTb"/>
          <w:docGrid w:type="default" w:linePitch="240" w:charSpace="4294961151"/>
        </w:sectPr>
        <w:pStyle w:val="Normal"/>
        <w:jc w:val="right"/>
        <w:rPr>
          <w:b/>
          <w:b/>
          <w:sz w:val="20"/>
          <w:szCs w:val="20"/>
          <w:lang w:eastAsia="ja-JP"/>
        </w:rPr>
      </w:pPr>
      <w:r>
        <w:rPr>
          <w:b/>
          <w:sz w:val="20"/>
          <w:szCs w:val="20"/>
          <w:lang w:eastAsia="ja-JP"/>
        </w:rPr>
      </w:r>
    </w:p>
    <w:p>
      <w:pPr>
        <w:pStyle w:val="Normal"/>
        <w:jc w:val="right"/>
        <w:rPr>
          <w:b/>
          <w:b/>
          <w:sz w:val="20"/>
          <w:szCs w:val="20"/>
        </w:rPr>
      </w:pPr>
      <w:r>
        <w:rPr>
          <w:b/>
          <w:sz w:val="20"/>
          <w:szCs w:val="20"/>
        </w:rPr>
        <w:t>Appendix 4</w:t>
      </w:r>
    </w:p>
    <w:p>
      <w:pPr>
        <w:pStyle w:val="Normal"/>
        <w:jc w:val="right"/>
        <w:rPr>
          <w:b/>
          <w:b/>
          <w:sz w:val="20"/>
          <w:szCs w:val="20"/>
        </w:rPr>
      </w:pPr>
      <w:r>
        <w:rPr>
          <w:b/>
          <w:sz w:val="20"/>
          <w:szCs w:val="20"/>
        </w:rPr>
      </w:r>
    </w:p>
    <w:p>
      <w:pPr>
        <w:pStyle w:val="Normal"/>
        <w:ind w:left="720" w:hanging="0"/>
        <w:jc w:val="center"/>
        <w:rPr>
          <w:rFonts w:ascii="Cambria" w:hAnsi="Cambria"/>
          <w:b/>
          <w:b/>
          <w:sz w:val="20"/>
          <w:szCs w:val="20"/>
        </w:rPr>
      </w:pPr>
      <w:r>
        <w:rPr>
          <w:b/>
          <w:sz w:val="20"/>
          <w:szCs w:val="20"/>
        </w:rPr>
        <w:t>Draft working document:</w:t>
      </w:r>
    </w:p>
    <w:p>
      <w:pPr>
        <w:pStyle w:val="Normal"/>
        <w:ind w:left="720" w:hanging="0"/>
        <w:jc w:val="center"/>
        <w:rPr>
          <w:rFonts w:ascii="Cambria" w:hAnsi="Cambria"/>
          <w:b/>
          <w:b/>
          <w:sz w:val="20"/>
          <w:szCs w:val="20"/>
        </w:rPr>
      </w:pPr>
      <w:r>
        <w:rPr>
          <w:b/>
          <w:sz w:val="20"/>
          <w:szCs w:val="20"/>
        </w:rPr>
        <w:t>Performance indicators from SCRS/2016/015 and PA2-003, Annex 2</w:t>
      </w:r>
    </w:p>
    <w:p>
      <w:pPr>
        <w:pStyle w:val="Normal"/>
        <w:ind w:left="720" w:hanging="0"/>
        <w:jc w:val="center"/>
        <w:rPr>
          <w:rFonts w:ascii="Cambria" w:hAnsi="Cambria"/>
          <w:b/>
          <w:b/>
          <w:sz w:val="20"/>
          <w:szCs w:val="20"/>
        </w:rPr>
      </w:pPr>
      <w:r>
        <w:rPr>
          <w:b/>
          <w:sz w:val="20"/>
          <w:szCs w:val="20"/>
        </w:rPr>
        <w:t>With changes agreed by Panel 2</w:t>
      </w:r>
    </w:p>
    <w:p>
      <w:pPr>
        <w:pStyle w:val="Normal"/>
        <w:jc w:val="both"/>
        <w:rPr>
          <w:rFonts w:ascii="Cambria" w:hAnsi="Cambria"/>
          <w:b/>
          <w:b/>
          <w:i/>
          <w:i/>
          <w:sz w:val="20"/>
          <w:szCs w:val="20"/>
          <w:lang w:eastAsia="en-GB"/>
        </w:rPr>
      </w:pPr>
      <w:r>
        <w:rPr>
          <w:b/>
          <w:i/>
          <w:sz w:val="20"/>
          <w:szCs w:val="20"/>
          <w:lang w:eastAsia="en-GB"/>
        </w:rPr>
      </w:r>
    </w:p>
    <w:tbl>
      <w:tblPr>
        <w:tblStyle w:val="TableGrid"/>
        <w:tblW w:w="14150" w:type="dxa"/>
        <w:jc w:val="left"/>
        <w:tblInd w:w="0" w:type="dxa"/>
        <w:tblCellMar>
          <w:top w:w="0" w:type="dxa"/>
          <w:left w:w="108" w:type="dxa"/>
          <w:bottom w:w="0" w:type="dxa"/>
          <w:right w:w="108" w:type="dxa"/>
        </w:tblCellMar>
        <w:tblLook w:val="04a0" w:noVBand="1" w:noHBand="0" w:lastColumn="0" w:firstColumn="1" w:lastRow="0" w:firstRow="1"/>
      </w:tblPr>
      <w:tblGrid>
        <w:gridCol w:w="6985"/>
        <w:gridCol w:w="3203"/>
        <w:gridCol w:w="3962"/>
      </w:tblGrid>
      <w:tr>
        <w:trPr>
          <w:trHeight w:val="287" w:hRule="atLeast"/>
        </w:trPr>
        <w:tc>
          <w:tcPr>
            <w:tcW w:w="6985" w:type="dxa"/>
            <w:tcBorders/>
            <w:shd w:fill="auto" w:val="clear"/>
            <w:tcMar>
              <w:left w:w="108" w:type="dxa"/>
            </w:tcMar>
          </w:tcPr>
          <w:p>
            <w:pPr>
              <w:pStyle w:val="Title"/>
              <w:spacing w:before="0" w:after="300"/>
              <w:contextualSpacing/>
              <w:jc w:val="center"/>
              <w:rPr>
                <w:rStyle w:val="BookTitle"/>
                <w:rFonts w:cs="Times New Roman"/>
                <w:color w:val="00000A"/>
                <w:sz w:val="20"/>
                <w:szCs w:val="20"/>
                <w:lang w:val="en-US"/>
              </w:rPr>
            </w:pPr>
            <w:r>
              <w:rPr>
                <w:rStyle w:val="BookTitle"/>
                <w:rFonts w:eastAsia="Cambria" w:cs="Times New Roman" w:ascii="Cambria" w:hAnsi="Cambria" w:eastAsiaTheme="minorHAnsi"/>
                <w:i/>
                <w:sz w:val="20"/>
                <w:szCs w:val="20"/>
                <w:lang w:val="en-US"/>
              </w:rPr>
              <w:t>Performance indicators and associated statistics</w:t>
            </w:r>
          </w:p>
        </w:tc>
        <w:tc>
          <w:tcPr>
            <w:tcW w:w="3203" w:type="dxa"/>
            <w:tcBorders/>
            <w:shd w:fill="auto" w:val="clear"/>
            <w:tcMar>
              <w:left w:w="108" w:type="dxa"/>
            </w:tcMar>
          </w:tcPr>
          <w:p>
            <w:pPr>
              <w:pStyle w:val="Title"/>
              <w:spacing w:before="0" w:after="300"/>
              <w:contextualSpacing/>
              <w:jc w:val="center"/>
              <w:rPr>
                <w:rStyle w:val="BookTitle"/>
                <w:rFonts w:ascii="Cambria" w:hAnsi="Cambria"/>
                <w:i/>
                <w:i/>
                <w:color w:val="00000A"/>
                <w:sz w:val="20"/>
                <w:szCs w:val="20"/>
              </w:rPr>
            </w:pPr>
            <w:r>
              <w:rPr>
                <w:rStyle w:val="BookTitle"/>
                <w:rFonts w:eastAsia="Cambria" w:cs="Times New Roman" w:ascii="Cambria" w:hAnsi="Cambria" w:eastAsiaTheme="minorHAnsi"/>
                <w:i/>
                <w:sz w:val="20"/>
                <w:szCs w:val="20"/>
                <w:lang w:val="fr-FR"/>
              </w:rPr>
              <w:t>Unit of measurement</w:t>
            </w:r>
          </w:p>
        </w:tc>
        <w:tc>
          <w:tcPr>
            <w:tcW w:w="3962" w:type="dxa"/>
            <w:tcBorders/>
            <w:shd w:fill="auto" w:val="clear"/>
            <w:tcMar>
              <w:left w:w="108" w:type="dxa"/>
            </w:tcMar>
          </w:tcPr>
          <w:p>
            <w:pPr>
              <w:pStyle w:val="Title"/>
              <w:spacing w:before="0" w:after="300"/>
              <w:contextualSpacing/>
              <w:jc w:val="center"/>
              <w:rPr>
                <w:rStyle w:val="BookTitle"/>
                <w:rFonts w:ascii="Cambria" w:hAnsi="Cambria"/>
                <w:i/>
                <w:i/>
                <w:color w:val="00000A"/>
                <w:sz w:val="20"/>
                <w:szCs w:val="20"/>
              </w:rPr>
            </w:pPr>
            <w:r>
              <w:rPr>
                <w:rStyle w:val="BookTitle"/>
                <w:rFonts w:eastAsia="Cambria" w:cs="Times New Roman" w:ascii="Cambria" w:hAnsi="Cambria" w:eastAsiaTheme="minorHAnsi"/>
                <w:i/>
                <w:sz w:val="20"/>
                <w:szCs w:val="20"/>
                <w:lang w:val="fr-FR"/>
              </w:rPr>
              <w:t>Type of metrics</w:t>
            </w:r>
          </w:p>
        </w:tc>
      </w:tr>
      <w:tr>
        <w:trPr/>
        <w:tc>
          <w:tcPr>
            <w:tcW w:w="6985" w:type="dxa"/>
            <w:tcBorders/>
            <w:shd w:fill="auto" w:val="clear"/>
            <w:tcMar>
              <w:left w:w="108" w:type="dxa"/>
            </w:tcMar>
          </w:tcPr>
          <w:p>
            <w:pPr>
              <w:pStyle w:val="Normal"/>
              <w:tabs>
                <w:tab w:val="left" w:pos="284" w:leader="none"/>
              </w:tabs>
              <w:jc w:val="both"/>
              <w:rPr>
                <w:rFonts w:ascii="Cambria" w:hAnsi="Cambria"/>
                <w:b/>
                <w:b/>
                <w:lang w:eastAsia="en-GB"/>
              </w:rPr>
            </w:pPr>
            <w:r>
              <w:rPr>
                <w:rFonts w:eastAsia="Cambria" w:cs="Times New Roman" w:eastAsiaTheme="minorHAnsi"/>
                <w:b/>
                <w:sz w:val="20"/>
                <w:szCs w:val="20"/>
                <w:lang w:val="fr-FR" w:eastAsia="en-GB"/>
              </w:rPr>
              <w:tab/>
              <w:t>Status</w:t>
            </w:r>
          </w:p>
        </w:tc>
        <w:tc>
          <w:tcPr>
            <w:tcW w:w="3203" w:type="dxa"/>
            <w:tcBorders/>
            <w:shd w:fill="auto" w:val="clear"/>
            <w:tcMar>
              <w:left w:w="108" w:type="dxa"/>
            </w:tcMar>
          </w:tcPr>
          <w:p>
            <w:pPr>
              <w:pStyle w:val="Normal"/>
              <w:jc w:val="center"/>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c>
          <w:tcPr>
            <w:tcW w:w="3962" w:type="dxa"/>
            <w:tcBorders/>
            <w:shd w:fill="auto" w:val="clear"/>
            <w:tcMar>
              <w:left w:w="108" w:type="dxa"/>
            </w:tcMar>
          </w:tcPr>
          <w:p>
            <w:pPr>
              <w:pStyle w:val="Normal"/>
              <w:jc w:val="both"/>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ascii="Times New Roman" w:hAnsi="Times New Roman"/>
                <w:sz w:val="20"/>
                <w:szCs w:val="20"/>
                <w:lang w:val="fr-FR" w:eastAsia="en-GB"/>
              </w:rPr>
              <w:t>1.1 Minimum spawner biomass relative to B</w:t>
            </w:r>
            <w:r>
              <w:rPr>
                <w:rFonts w:eastAsia="Cambria" w:cs="Times New Roman" w:eastAsiaTheme="minorHAnsi" w:ascii="Times New Roman" w:hAnsi="Times New Roman"/>
                <w:sz w:val="20"/>
                <w:szCs w:val="20"/>
                <w:vertAlign w:val="subscript"/>
                <w:lang w:val="fr-FR" w:eastAsia="en-GB"/>
              </w:rPr>
              <w:t>MSY</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ascii="Times New Roman" w:hAnsi="Times New Roman"/>
                <w:sz w:val="20"/>
                <w:szCs w:val="20"/>
                <w:lang w:val="fr-FR" w:eastAsia="en-GB"/>
              </w:rPr>
              <w:t>B/ B</w:t>
            </w:r>
            <w:r>
              <w:rPr>
                <w:rFonts w:eastAsia="Cambria" w:cs="Times New Roman" w:eastAsiaTheme="minorHAnsi" w:ascii="Times New Roman" w:hAnsi="Times New Roman"/>
                <w:sz w:val="20"/>
                <w:szCs w:val="20"/>
                <w:vertAlign w:val="subscript"/>
                <w:lang w:val="fr-FR" w:eastAsia="en-GB"/>
              </w:rPr>
              <w:t>MSY</w:t>
            </w:r>
          </w:p>
        </w:tc>
        <w:tc>
          <w:tcPr>
            <w:tcW w:w="3962" w:type="dxa"/>
            <w:tcBorders/>
            <w:shd w:fill="auto" w:val="clear"/>
            <w:tcMar>
              <w:left w:w="108" w:type="dxa"/>
            </w:tcMar>
          </w:tcPr>
          <w:p>
            <w:pPr>
              <w:pStyle w:val="Normal"/>
              <w:jc w:val="both"/>
              <w:rPr>
                <w:rFonts w:ascii="Cambria" w:hAnsi="Cambria"/>
                <w:lang w:eastAsia="en-GB"/>
              </w:rPr>
            </w:pPr>
            <w:r>
              <w:rPr>
                <w:rFonts w:eastAsia="Cambria" w:cs="Times New Roman" w:eastAsiaTheme="minorHAnsi"/>
                <w:sz w:val="20"/>
                <w:szCs w:val="20"/>
                <w:lang w:val="fr-FR" w:eastAsia="en-GB"/>
              </w:rPr>
              <w:t>Minimum over [x] years</w:t>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ascii="Times New Roman" w:hAnsi="Times New Roman"/>
                <w:sz w:val="20"/>
                <w:szCs w:val="20"/>
                <w:lang w:val="fr-FR" w:eastAsia="en-GB"/>
              </w:rPr>
              <w:t>1.2 Mean spawner biomass relative to B</w:t>
            </w:r>
            <w:r>
              <w:rPr>
                <w:rFonts w:eastAsia="Cambria" w:cs="Times New Roman" w:eastAsiaTheme="minorHAnsi" w:ascii="Times New Roman" w:hAnsi="Times New Roman"/>
                <w:sz w:val="20"/>
                <w:szCs w:val="20"/>
                <w:vertAlign w:val="subscript"/>
                <w:lang w:val="fr-FR" w:eastAsia="en-GB"/>
              </w:rPr>
              <w:t>MSY</w:t>
            </w:r>
            <w:r>
              <w:rPr>
                <w:rStyle w:val="FootnoteAnchor"/>
                <w:rFonts w:eastAsia="Cambria" w:cs="Times New Roman" w:eastAsiaTheme="minorHAnsi" w:ascii="Times New Roman" w:hAnsi="Times New Roman"/>
                <w:sz w:val="20"/>
                <w:szCs w:val="20"/>
                <w:vertAlign w:val="subscript"/>
                <w:lang w:val="fr-FR" w:eastAsia="en-GB"/>
              </w:rPr>
              <w:footnoteReference w:id="4"/>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ascii="Times New Roman" w:hAnsi="Times New Roman"/>
                <w:sz w:val="20"/>
                <w:szCs w:val="20"/>
                <w:lang w:val="fr-FR" w:eastAsia="en-GB"/>
              </w:rPr>
              <w:t>B/ B</w:t>
            </w:r>
            <w:r>
              <w:rPr>
                <w:rFonts w:eastAsia="Cambria" w:cs="Times New Roman" w:eastAsiaTheme="minorHAnsi" w:ascii="Times New Roman" w:hAnsi="Times New Roman"/>
                <w:sz w:val="20"/>
                <w:szCs w:val="20"/>
                <w:vertAlign w:val="subscript"/>
                <w:lang w:val="fr-FR" w:eastAsia="en-GB"/>
              </w:rPr>
              <w:t>MSY</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sz w:val="20"/>
                <w:szCs w:val="20"/>
                <w:lang w:val="en-US" w:eastAsia="en-GB"/>
              </w:rPr>
              <w:t>Geometric mean over [x] years</w:t>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ascii="Times New Roman" w:hAnsi="Times New Roman"/>
                <w:sz w:val="20"/>
                <w:szCs w:val="20"/>
                <w:lang w:val="fr-FR" w:eastAsia="en-GB"/>
              </w:rPr>
              <w:t>1.3 Mean fishing mortality relative to F</w:t>
            </w:r>
            <w:r>
              <w:rPr>
                <w:rFonts w:eastAsia="Cambria" w:cs="Times New Roman" w:eastAsiaTheme="minorHAnsi" w:ascii="Times New Roman" w:hAnsi="Times New Roman"/>
                <w:sz w:val="20"/>
                <w:szCs w:val="20"/>
                <w:vertAlign w:val="subscript"/>
                <w:lang w:val="fr-FR" w:eastAsia="en-GB"/>
              </w:rPr>
              <w:t>MSY</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ascii="Times New Roman" w:hAnsi="Times New Roman"/>
                <w:sz w:val="20"/>
                <w:szCs w:val="20"/>
                <w:lang w:val="fr-FR" w:eastAsia="en-GB"/>
              </w:rPr>
              <w:t>F/ F</w:t>
            </w:r>
            <w:r>
              <w:rPr>
                <w:rFonts w:eastAsia="Cambria" w:cs="Times New Roman" w:eastAsiaTheme="minorHAnsi" w:ascii="Times New Roman" w:hAnsi="Times New Roman"/>
                <w:sz w:val="20"/>
                <w:szCs w:val="20"/>
                <w:vertAlign w:val="subscript"/>
                <w:lang w:val="fr-FR" w:eastAsia="en-GB"/>
              </w:rPr>
              <w:t>MSY</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sz w:val="20"/>
                <w:szCs w:val="20"/>
                <w:lang w:val="en-US" w:eastAsia="en-GB"/>
              </w:rPr>
              <w:t>Geometric mean over [x] years</w:t>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sz w:val="20"/>
                <w:szCs w:val="20"/>
                <w:lang w:val="en-US" w:eastAsia="en-GB"/>
              </w:rPr>
              <w:t>1.4 Probability of being in the Kobe green quadrant</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sz w:val="20"/>
                <w:szCs w:val="20"/>
                <w:lang w:val="fr-FR" w:eastAsia="en-GB"/>
              </w:rPr>
              <w:t>B, F</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ascii="Times New Roman" w:hAnsi="Times New Roman"/>
                <w:sz w:val="20"/>
                <w:szCs w:val="20"/>
                <w:lang w:val="fr-FR" w:eastAsia="en-GB"/>
              </w:rPr>
              <w:t>Proportion of years that B≥B</w:t>
            </w:r>
            <w:r>
              <w:rPr>
                <w:rFonts w:eastAsia="Cambria" w:cs="Times New Roman" w:eastAsiaTheme="minorHAnsi" w:ascii="Times New Roman" w:hAnsi="Times New Roman"/>
                <w:sz w:val="20"/>
                <w:szCs w:val="20"/>
                <w:vertAlign w:val="subscript"/>
                <w:lang w:val="fr-FR" w:eastAsia="en-GB"/>
              </w:rPr>
              <w:t>MSY</w:t>
            </w:r>
            <w:r>
              <w:rPr>
                <w:rFonts w:eastAsia="Cambria" w:cs="Times New Roman" w:eastAsiaTheme="minorHAnsi" w:ascii="Times New Roman" w:hAnsi="Times New Roman"/>
                <w:sz w:val="20"/>
                <w:szCs w:val="20"/>
                <w:lang w:val="fr-FR" w:eastAsia="en-GB"/>
              </w:rPr>
              <w:t xml:space="preserve"> &amp; F≤F</w:t>
            </w:r>
            <w:r>
              <w:rPr>
                <w:rFonts w:eastAsia="Cambria" w:cs="Times New Roman" w:eastAsiaTheme="minorHAnsi" w:ascii="Times New Roman" w:hAnsi="Times New Roman"/>
                <w:sz w:val="20"/>
                <w:szCs w:val="20"/>
                <w:vertAlign w:val="subscript"/>
                <w:lang w:val="fr-FR" w:eastAsia="en-GB"/>
              </w:rPr>
              <w:t>MSY</w:t>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sz w:val="20"/>
                <w:szCs w:val="20"/>
                <w:lang w:val="en-US" w:eastAsia="en-GB"/>
              </w:rPr>
              <w:t>1.5 Probability of being in the Kobe red quadrant</w:t>
            </w:r>
            <w:r>
              <w:rPr>
                <w:rStyle w:val="FootnoteAnchor"/>
                <w:rFonts w:eastAsia="Cambria" w:cs="Times New Roman" w:eastAsiaTheme="minorHAnsi"/>
                <w:sz w:val="20"/>
                <w:szCs w:val="20"/>
                <w:lang w:val="en-US" w:eastAsia="en-GB"/>
              </w:rPr>
              <w:footnoteReference w:id="5"/>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sz w:val="20"/>
                <w:szCs w:val="20"/>
                <w:lang w:val="fr-FR" w:eastAsia="en-GB"/>
              </w:rPr>
              <w:t>B, F</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ascii="Times New Roman" w:hAnsi="Times New Roman"/>
                <w:sz w:val="20"/>
                <w:szCs w:val="20"/>
                <w:lang w:val="fr-FR" w:eastAsia="en-GB"/>
              </w:rPr>
              <w:t>Proportion of years that B≤B</w:t>
            </w:r>
            <w:r>
              <w:rPr>
                <w:rFonts w:eastAsia="Cambria" w:cs="Times New Roman" w:eastAsiaTheme="minorHAnsi" w:ascii="Times New Roman" w:hAnsi="Times New Roman"/>
                <w:sz w:val="20"/>
                <w:szCs w:val="20"/>
                <w:vertAlign w:val="subscript"/>
                <w:lang w:val="fr-FR" w:eastAsia="en-GB"/>
              </w:rPr>
              <w:t>MSY</w:t>
            </w:r>
            <w:r>
              <w:rPr>
                <w:rFonts w:eastAsia="Cambria" w:cs="Times New Roman" w:eastAsiaTheme="minorHAnsi" w:ascii="Times New Roman" w:hAnsi="Times New Roman"/>
                <w:sz w:val="20"/>
                <w:szCs w:val="20"/>
                <w:lang w:val="fr-FR" w:eastAsia="en-GB"/>
              </w:rPr>
              <w:t xml:space="preserve"> &amp; F≥F</w:t>
            </w:r>
            <w:r>
              <w:rPr>
                <w:rFonts w:eastAsia="Cambria" w:cs="Times New Roman" w:eastAsiaTheme="minorHAnsi" w:ascii="Times New Roman" w:hAnsi="Times New Roman"/>
                <w:sz w:val="20"/>
                <w:szCs w:val="20"/>
                <w:vertAlign w:val="subscript"/>
                <w:lang w:val="fr-FR" w:eastAsia="en-GB"/>
              </w:rPr>
              <w:t>MSY</w:t>
            </w:r>
          </w:p>
        </w:tc>
      </w:tr>
      <w:tr>
        <w:trPr/>
        <w:tc>
          <w:tcPr>
            <w:tcW w:w="6985" w:type="dxa"/>
            <w:tcBorders/>
            <w:shd w:fill="auto" w:val="clear"/>
            <w:tcMar>
              <w:left w:w="108" w:type="dxa"/>
            </w:tcMar>
          </w:tcPr>
          <w:p>
            <w:pPr>
              <w:pStyle w:val="Normal"/>
              <w:tabs>
                <w:tab w:val="left" w:pos="284" w:leader="none"/>
              </w:tabs>
              <w:jc w:val="both"/>
              <w:rPr>
                <w:rFonts w:ascii="Cambria" w:hAnsi="Cambria"/>
                <w:b/>
                <w:b/>
                <w:lang w:eastAsia="en-GB"/>
              </w:rPr>
            </w:pPr>
            <w:r>
              <w:rPr>
                <w:rFonts w:eastAsia="Cambria" w:cs="Times New Roman" w:eastAsiaTheme="minorHAnsi"/>
                <w:b/>
                <w:sz w:val="20"/>
                <w:szCs w:val="20"/>
                <w:lang w:val="fr-FR" w:eastAsia="en-GB"/>
              </w:rPr>
              <w:t>2</w:t>
              <w:tab/>
              <w:t>Safety</w:t>
            </w:r>
          </w:p>
        </w:tc>
        <w:tc>
          <w:tcPr>
            <w:tcW w:w="3203" w:type="dxa"/>
            <w:tcBorders/>
            <w:shd w:fill="auto" w:val="clear"/>
            <w:tcMar>
              <w:left w:w="108" w:type="dxa"/>
            </w:tcMar>
          </w:tcPr>
          <w:p>
            <w:pPr>
              <w:pStyle w:val="Normal"/>
              <w:jc w:val="center"/>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c>
          <w:tcPr>
            <w:tcW w:w="3962" w:type="dxa"/>
            <w:tcBorders/>
            <w:shd w:fill="auto" w:val="clear"/>
            <w:tcMar>
              <w:left w:w="108" w:type="dxa"/>
            </w:tcMar>
          </w:tcPr>
          <w:p>
            <w:pPr>
              <w:pStyle w:val="Normal"/>
              <w:jc w:val="both"/>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ascii="Times New Roman" w:hAnsi="Times New Roman"/>
                <w:sz w:val="20"/>
                <w:szCs w:val="20"/>
                <w:lang w:val="fr-FR" w:eastAsia="en-GB"/>
              </w:rPr>
              <w:t>2.1 Probability that spawner biomass is above B</w:t>
            </w:r>
            <w:r>
              <w:rPr>
                <w:rFonts w:eastAsia="Cambria" w:cs="Times New Roman" w:eastAsiaTheme="minorHAnsi" w:ascii="Times New Roman" w:hAnsi="Times New Roman"/>
                <w:sz w:val="20"/>
                <w:szCs w:val="20"/>
                <w:vertAlign w:val="subscript"/>
                <w:lang w:val="fr-FR" w:eastAsia="en-GB"/>
              </w:rPr>
              <w:t xml:space="preserve">lim </w:t>
            </w:r>
            <w:r>
              <w:rPr>
                <w:rFonts w:eastAsia="Cambria" w:cs="Times New Roman" w:eastAsiaTheme="minorHAnsi" w:ascii="Times New Roman" w:hAnsi="Times New Roman"/>
                <w:sz w:val="20"/>
                <w:szCs w:val="20"/>
                <w:lang w:val="fr-FR" w:eastAsia="en-GB"/>
              </w:rPr>
              <w:t>(0.4B</w:t>
            </w:r>
            <w:r>
              <w:rPr>
                <w:rFonts w:eastAsia="Cambria" w:cs="Times New Roman" w:eastAsiaTheme="minorHAnsi" w:ascii="Times New Roman" w:hAnsi="Times New Roman"/>
                <w:sz w:val="20"/>
                <w:szCs w:val="20"/>
                <w:vertAlign w:val="subscript"/>
                <w:lang w:val="fr-FR" w:eastAsia="en-GB"/>
              </w:rPr>
              <w:t>MSY</w:t>
            </w:r>
            <w:r>
              <w:rPr>
                <w:rFonts w:eastAsia="Cambria" w:cs="Times New Roman" w:eastAsiaTheme="minorHAnsi" w:ascii="Times New Roman" w:hAnsi="Times New Roman"/>
                <w:sz w:val="20"/>
                <w:szCs w:val="20"/>
                <w:lang w:val="fr-FR" w:eastAsia="en-GB"/>
              </w:rPr>
              <w:t>)</w:t>
            </w:r>
            <w:r>
              <w:rPr>
                <w:rStyle w:val="FootnoteAnchor"/>
                <w:rFonts w:eastAsia="Cambria" w:cs="Times New Roman" w:eastAsiaTheme="minorHAnsi" w:ascii="Times New Roman" w:hAnsi="Times New Roman"/>
                <w:sz w:val="20"/>
                <w:szCs w:val="20"/>
                <w:lang w:val="fr-FR" w:eastAsia="en-GB"/>
              </w:rPr>
              <w:footnoteReference w:id="6"/>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ascii="Times New Roman" w:hAnsi="Times New Roman"/>
                <w:sz w:val="20"/>
                <w:szCs w:val="20"/>
                <w:lang w:val="fr-FR" w:eastAsia="en-GB"/>
              </w:rPr>
              <w:t>B/ B</w:t>
            </w:r>
            <w:r>
              <w:rPr>
                <w:rFonts w:eastAsia="Cambria" w:cs="Times New Roman" w:eastAsiaTheme="minorHAnsi" w:ascii="Times New Roman" w:hAnsi="Times New Roman"/>
                <w:sz w:val="20"/>
                <w:szCs w:val="20"/>
                <w:vertAlign w:val="subscript"/>
                <w:lang w:val="fr-FR" w:eastAsia="en-GB"/>
              </w:rPr>
              <w:t>MSY</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ascii="Times New Roman" w:hAnsi="Times New Roman"/>
                <w:sz w:val="20"/>
                <w:szCs w:val="20"/>
                <w:lang w:val="fr-FR" w:eastAsia="en-GB"/>
              </w:rPr>
              <w:t>Proportion of years that B&gt;B</w:t>
            </w:r>
            <w:r>
              <w:rPr>
                <w:rFonts w:eastAsia="Cambria" w:cs="Times New Roman" w:eastAsiaTheme="minorHAnsi" w:ascii="Times New Roman" w:hAnsi="Times New Roman"/>
                <w:sz w:val="20"/>
                <w:szCs w:val="20"/>
                <w:vertAlign w:val="subscript"/>
                <w:lang w:val="fr-FR" w:eastAsia="en-GB"/>
              </w:rPr>
              <w:t>lim</w:t>
            </w:r>
          </w:p>
        </w:tc>
      </w:tr>
      <w:tr>
        <w:trPr/>
        <w:tc>
          <w:tcPr>
            <w:tcW w:w="6985" w:type="dxa"/>
            <w:tcBorders/>
            <w:shd w:fill="auto" w:val="clear"/>
            <w:tcMar>
              <w:left w:w="108" w:type="dxa"/>
            </w:tcMar>
          </w:tcPr>
          <w:p>
            <w:pPr>
              <w:pStyle w:val="Normal"/>
              <w:jc w:val="both"/>
              <w:rPr>
                <w:rFonts w:ascii="Cambria" w:hAnsi="Cambria"/>
                <w:b/>
                <w:b/>
                <w:lang w:val="en-US" w:eastAsia="en-GB"/>
              </w:rPr>
            </w:pPr>
            <w:r>
              <w:rPr>
                <w:rFonts w:eastAsia="Cambria" w:cs="Times New Roman" w:ascii="Times New Roman" w:hAnsi="Times New Roman"/>
                <w:sz w:val="20"/>
                <w:szCs w:val="20"/>
                <w:lang w:val="fr-FR" w:eastAsia="ja-JP"/>
              </w:rPr>
              <w:t xml:space="preserve">      </w:t>
            </w:r>
            <w:r>
              <w:rPr>
                <w:rFonts w:eastAsia="Cambria" w:cs="Times New Roman" w:ascii="Times New Roman" w:hAnsi="Times New Roman"/>
                <w:sz w:val="20"/>
                <w:szCs w:val="20"/>
                <w:lang w:val="fr-FR" w:eastAsia="ja-JP"/>
              </w:rPr>
              <w:t xml:space="preserve">2.2 </w:t>
            </w:r>
            <w:r>
              <w:rPr>
                <w:rFonts w:eastAsia="Cambria" w:cs="Times New Roman" w:ascii="Times New Roman" w:hAnsi="Times New Roman"/>
                <w:sz w:val="20"/>
                <w:szCs w:val="20"/>
                <w:lang w:val="fr-FR" w:eastAsia="en-GB"/>
              </w:rPr>
              <w:t xml:space="preserve"> Probability of B</w:t>
            </w:r>
            <w:r>
              <w:rPr>
                <w:rFonts w:eastAsia="Cambria" w:cs="Times New Roman" w:ascii="Times New Roman" w:hAnsi="Times New Roman"/>
                <w:sz w:val="20"/>
                <w:szCs w:val="20"/>
                <w:vertAlign w:val="subscript"/>
                <w:lang w:val="fr-FR" w:eastAsia="en-GB"/>
              </w:rPr>
              <w:t>lim</w:t>
            </w:r>
            <w:r>
              <w:rPr>
                <w:rFonts w:eastAsia="Cambria" w:cs="Times New Roman" w:ascii="Times New Roman" w:hAnsi="Times New Roman"/>
                <w:sz w:val="20"/>
                <w:szCs w:val="20"/>
                <w:lang w:val="fr-FR" w:eastAsia="en-GB"/>
              </w:rPr>
              <w:t>&lt;B &lt;B</w:t>
            </w:r>
            <w:r>
              <w:rPr>
                <w:rFonts w:eastAsia="Cambria" w:cs="Times New Roman" w:ascii="Times New Roman" w:hAnsi="Times New Roman"/>
                <w:sz w:val="20"/>
                <w:szCs w:val="20"/>
                <w:vertAlign w:val="subscript"/>
                <w:lang w:val="fr-FR" w:eastAsia="en-GB"/>
              </w:rPr>
              <w:t>thresh</w:t>
            </w:r>
          </w:p>
        </w:tc>
        <w:tc>
          <w:tcPr>
            <w:tcW w:w="3203" w:type="dxa"/>
            <w:tcBorders/>
            <w:shd w:fill="auto" w:val="clear"/>
            <w:tcMar>
              <w:left w:w="108" w:type="dxa"/>
            </w:tcMar>
          </w:tcPr>
          <w:p>
            <w:pPr>
              <w:pStyle w:val="Normal"/>
              <w:jc w:val="center"/>
              <w:rPr>
                <w:rFonts w:ascii="Cambria" w:hAnsi="Cambria"/>
                <w:b/>
                <w:b/>
                <w:lang w:eastAsia="en-GB"/>
              </w:rPr>
            </w:pPr>
            <w:r>
              <w:rPr>
                <w:rFonts w:eastAsia="Cambria" w:cs="Times New Roman" w:eastAsiaTheme="minorHAnsi" w:ascii="Times New Roman" w:hAnsi="Times New Roman"/>
                <w:sz w:val="20"/>
                <w:szCs w:val="20"/>
                <w:lang w:val="fr-FR" w:eastAsia="en-GB"/>
              </w:rPr>
              <w:t>B/ B</w:t>
            </w:r>
            <w:r>
              <w:rPr>
                <w:rFonts w:eastAsia="Cambria" w:cs="Times New Roman" w:eastAsiaTheme="minorHAnsi" w:ascii="Times New Roman" w:hAnsi="Times New Roman"/>
                <w:sz w:val="20"/>
                <w:szCs w:val="20"/>
                <w:vertAlign w:val="subscript"/>
                <w:lang w:val="fr-FR" w:eastAsia="en-GB"/>
              </w:rPr>
              <w:t>MSY</w:t>
            </w:r>
          </w:p>
        </w:tc>
        <w:tc>
          <w:tcPr>
            <w:tcW w:w="3962" w:type="dxa"/>
            <w:tcBorders/>
            <w:shd w:fill="auto" w:val="clear"/>
            <w:tcMar>
              <w:left w:w="108" w:type="dxa"/>
            </w:tcMar>
          </w:tcPr>
          <w:p>
            <w:pPr>
              <w:pStyle w:val="Normal"/>
              <w:jc w:val="both"/>
              <w:rPr>
                <w:rFonts w:ascii="Cambria" w:hAnsi="Cambria"/>
                <w:b/>
                <w:b/>
                <w:lang w:val="en-US" w:eastAsia="en-GB"/>
              </w:rPr>
            </w:pPr>
            <w:r>
              <w:rPr>
                <w:rFonts w:eastAsia="Cambria" w:cs="Times New Roman" w:ascii="Times New Roman" w:hAnsi="Times New Roman"/>
                <w:sz w:val="20"/>
                <w:szCs w:val="20"/>
                <w:lang w:val="fr-FR" w:eastAsia="en-GB"/>
              </w:rPr>
              <w:t xml:space="preserve">Proportion of years </w:t>
            </w:r>
            <w:r>
              <w:rPr>
                <w:rFonts w:eastAsia="Cambria" w:cs="Times New Roman" w:ascii="Times New Roman" w:hAnsi="Times New Roman"/>
                <w:sz w:val="20"/>
                <w:szCs w:val="20"/>
                <w:lang w:val="fr-FR" w:eastAsia="ja-JP"/>
              </w:rPr>
              <w:t>that</w:t>
            </w:r>
            <w:r>
              <w:rPr>
                <w:rFonts w:eastAsia="Cambria" w:cs="Times New Roman" w:ascii="Times New Roman" w:hAnsi="Times New Roman"/>
                <w:sz w:val="20"/>
                <w:szCs w:val="20"/>
                <w:lang w:val="fr-FR" w:eastAsia="en-GB"/>
              </w:rPr>
              <w:t xml:space="preserve"> B</w:t>
            </w:r>
            <w:r>
              <w:rPr>
                <w:rFonts w:eastAsia="Cambria" w:cs="Times New Roman" w:ascii="Times New Roman" w:hAnsi="Times New Roman"/>
                <w:sz w:val="20"/>
                <w:szCs w:val="20"/>
                <w:vertAlign w:val="subscript"/>
                <w:lang w:val="fr-FR" w:eastAsia="en-GB"/>
              </w:rPr>
              <w:t>lim</w:t>
            </w:r>
            <w:r>
              <w:rPr>
                <w:rFonts w:eastAsia="Cambria" w:cs="Times New Roman" w:ascii="Times New Roman" w:hAnsi="Times New Roman"/>
                <w:sz w:val="20"/>
                <w:szCs w:val="20"/>
                <w:lang w:val="fr-FR" w:eastAsia="en-GB"/>
              </w:rPr>
              <w:t>&lt;B &lt;B</w:t>
            </w:r>
            <w:r>
              <w:rPr>
                <w:rFonts w:eastAsia="Cambria" w:cs="Times New Roman" w:ascii="Times New Roman" w:hAnsi="Times New Roman"/>
                <w:sz w:val="20"/>
                <w:szCs w:val="20"/>
                <w:vertAlign w:val="subscript"/>
                <w:lang w:val="fr-FR" w:eastAsia="en-GB"/>
              </w:rPr>
              <w:t>thresh</w:t>
            </w:r>
          </w:p>
        </w:tc>
      </w:tr>
      <w:tr>
        <w:trPr/>
        <w:tc>
          <w:tcPr>
            <w:tcW w:w="6985" w:type="dxa"/>
            <w:tcBorders/>
            <w:shd w:fill="auto" w:val="clear"/>
            <w:tcMar>
              <w:left w:w="108" w:type="dxa"/>
            </w:tcMar>
          </w:tcPr>
          <w:p>
            <w:pPr>
              <w:pStyle w:val="Normal"/>
              <w:tabs>
                <w:tab w:val="left" w:pos="284" w:leader="none"/>
              </w:tabs>
              <w:jc w:val="both"/>
              <w:rPr>
                <w:rFonts w:ascii="Cambria" w:hAnsi="Cambria"/>
                <w:b/>
                <w:b/>
                <w:lang w:eastAsia="en-GB"/>
              </w:rPr>
            </w:pPr>
            <w:r>
              <w:rPr>
                <w:rFonts w:eastAsia="Cambria" w:cs="Times New Roman" w:eastAsiaTheme="minorHAnsi"/>
                <w:b/>
                <w:sz w:val="20"/>
                <w:szCs w:val="20"/>
                <w:lang w:val="fr-FR" w:eastAsia="en-GB"/>
              </w:rPr>
              <w:t>3</w:t>
              <w:tab/>
              <w:t>Yield</w:t>
            </w:r>
          </w:p>
        </w:tc>
        <w:tc>
          <w:tcPr>
            <w:tcW w:w="3203" w:type="dxa"/>
            <w:tcBorders/>
            <w:shd w:fill="auto" w:val="clear"/>
            <w:tcMar>
              <w:left w:w="108" w:type="dxa"/>
            </w:tcMar>
          </w:tcPr>
          <w:p>
            <w:pPr>
              <w:pStyle w:val="Normal"/>
              <w:jc w:val="center"/>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c>
          <w:tcPr>
            <w:tcW w:w="3962" w:type="dxa"/>
            <w:tcBorders/>
            <w:shd w:fill="auto" w:val="clear"/>
            <w:tcMar>
              <w:left w:w="108" w:type="dxa"/>
            </w:tcMar>
          </w:tcPr>
          <w:p>
            <w:pPr>
              <w:pStyle w:val="Normal"/>
              <w:jc w:val="both"/>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r>
      <w:tr>
        <w:trPr/>
        <w:tc>
          <w:tcPr>
            <w:tcW w:w="6985" w:type="dxa"/>
            <w:tcBorders/>
            <w:shd w:fill="auto" w:val="clear"/>
            <w:tcMar>
              <w:left w:w="108" w:type="dxa"/>
            </w:tcMar>
          </w:tcPr>
          <w:p>
            <w:pPr>
              <w:pStyle w:val="Normal"/>
              <w:ind w:left="284" w:hanging="0"/>
              <w:jc w:val="both"/>
              <w:rPr>
                <w:rFonts w:ascii="Cambria" w:hAnsi="Cambria"/>
                <w:lang w:eastAsia="en-GB"/>
              </w:rPr>
            </w:pPr>
            <w:r>
              <w:rPr>
                <w:rFonts w:eastAsia="Cambria" w:cs="Times New Roman" w:eastAsiaTheme="minorHAnsi"/>
                <w:sz w:val="20"/>
                <w:szCs w:val="20"/>
                <w:lang w:val="fr-FR" w:eastAsia="en-GB"/>
              </w:rPr>
              <w:t>3.1 Mean catch – short term</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sz w:val="20"/>
                <w:szCs w:val="20"/>
                <w:lang w:val="fr-FR" w:eastAsia="en-GB"/>
              </w:rPr>
              <w:t>Catch</w:t>
            </w:r>
          </w:p>
        </w:tc>
        <w:tc>
          <w:tcPr>
            <w:tcW w:w="3962" w:type="dxa"/>
            <w:tcBorders/>
            <w:shd w:fill="auto" w:val="clear"/>
            <w:tcMar>
              <w:left w:w="108" w:type="dxa"/>
            </w:tcMar>
          </w:tcPr>
          <w:p>
            <w:pPr>
              <w:pStyle w:val="Normal"/>
              <w:jc w:val="both"/>
              <w:rPr>
                <w:rFonts w:ascii="Cambria" w:hAnsi="Cambria"/>
                <w:lang w:eastAsia="en-GB"/>
              </w:rPr>
            </w:pPr>
            <w:r>
              <w:rPr>
                <w:rFonts w:eastAsia="Cambria" w:cs="Times New Roman" w:eastAsiaTheme="minorHAnsi"/>
                <w:sz w:val="20"/>
                <w:szCs w:val="20"/>
                <w:lang w:val="fr-FR" w:eastAsia="en-GB"/>
              </w:rPr>
              <w:t>Mean over 1-3 years</w:t>
            </w:r>
          </w:p>
        </w:tc>
      </w:tr>
      <w:tr>
        <w:trPr/>
        <w:tc>
          <w:tcPr>
            <w:tcW w:w="6985" w:type="dxa"/>
            <w:tcBorders/>
            <w:shd w:fill="auto" w:val="clear"/>
            <w:tcMar>
              <w:left w:w="108" w:type="dxa"/>
            </w:tcMar>
          </w:tcPr>
          <w:p>
            <w:pPr>
              <w:pStyle w:val="Normal"/>
              <w:ind w:left="284" w:hanging="0"/>
              <w:jc w:val="both"/>
              <w:rPr>
                <w:rFonts w:ascii="Cambria" w:hAnsi="Cambria"/>
                <w:b/>
                <w:b/>
                <w:lang w:eastAsia="en-GB"/>
              </w:rPr>
            </w:pPr>
            <w:r>
              <w:rPr>
                <w:rFonts w:eastAsia="Cambria" w:cs="Times New Roman" w:eastAsiaTheme="minorHAnsi"/>
                <w:sz w:val="20"/>
                <w:szCs w:val="20"/>
                <w:lang w:val="fr-FR" w:eastAsia="en-GB"/>
              </w:rPr>
              <w:t>3.2 Mean catch – medium term</w:t>
            </w:r>
          </w:p>
        </w:tc>
        <w:tc>
          <w:tcPr>
            <w:tcW w:w="3203" w:type="dxa"/>
            <w:tcBorders/>
            <w:shd w:fill="auto" w:val="clear"/>
            <w:tcMar>
              <w:left w:w="108" w:type="dxa"/>
            </w:tcMar>
          </w:tcPr>
          <w:p>
            <w:pPr>
              <w:pStyle w:val="Normal"/>
              <w:jc w:val="center"/>
              <w:rPr>
                <w:rFonts w:ascii="Cambria" w:hAnsi="Cambria"/>
                <w:b/>
                <w:b/>
                <w:lang w:eastAsia="en-GB"/>
              </w:rPr>
            </w:pPr>
            <w:r>
              <w:rPr>
                <w:rFonts w:eastAsia="Cambria" w:cs="Times New Roman" w:eastAsiaTheme="minorHAnsi"/>
                <w:sz w:val="20"/>
                <w:szCs w:val="20"/>
                <w:lang w:val="fr-FR" w:eastAsia="en-GB"/>
              </w:rPr>
              <w:t>Catch</w:t>
            </w:r>
          </w:p>
        </w:tc>
        <w:tc>
          <w:tcPr>
            <w:tcW w:w="3962" w:type="dxa"/>
            <w:tcBorders/>
            <w:shd w:fill="auto" w:val="clear"/>
            <w:tcMar>
              <w:left w:w="108" w:type="dxa"/>
            </w:tcMar>
          </w:tcPr>
          <w:p>
            <w:pPr>
              <w:pStyle w:val="Normal"/>
              <w:jc w:val="both"/>
              <w:rPr>
                <w:rFonts w:ascii="Cambria" w:hAnsi="Cambria"/>
                <w:b/>
                <w:b/>
                <w:lang w:eastAsia="en-GB"/>
              </w:rPr>
            </w:pPr>
            <w:r>
              <w:rPr>
                <w:rFonts w:eastAsia="Cambria" w:cs="Times New Roman" w:eastAsiaTheme="minorHAnsi"/>
                <w:sz w:val="20"/>
                <w:szCs w:val="20"/>
                <w:lang w:val="fr-FR" w:eastAsia="en-GB"/>
              </w:rPr>
              <w:t>Mean over 5-10 years</w:t>
            </w:r>
          </w:p>
        </w:tc>
      </w:tr>
      <w:tr>
        <w:trPr/>
        <w:tc>
          <w:tcPr>
            <w:tcW w:w="6985" w:type="dxa"/>
            <w:tcBorders/>
            <w:shd w:fill="auto" w:val="clear"/>
            <w:tcMar>
              <w:left w:w="108" w:type="dxa"/>
            </w:tcMar>
          </w:tcPr>
          <w:p>
            <w:pPr>
              <w:pStyle w:val="Normal"/>
              <w:ind w:left="284" w:hanging="0"/>
              <w:jc w:val="both"/>
              <w:rPr>
                <w:rFonts w:ascii="Cambria" w:hAnsi="Cambria"/>
                <w:b/>
                <w:b/>
                <w:lang w:eastAsia="en-GB"/>
              </w:rPr>
            </w:pPr>
            <w:r>
              <w:rPr>
                <w:rFonts w:eastAsia="Cambria" w:cs="Times New Roman" w:eastAsiaTheme="minorHAnsi"/>
                <w:sz w:val="20"/>
                <w:szCs w:val="20"/>
                <w:lang w:val="fr-FR" w:eastAsia="en-GB"/>
              </w:rPr>
              <w:t>3.3 Mean catch – long term</w:t>
            </w:r>
          </w:p>
        </w:tc>
        <w:tc>
          <w:tcPr>
            <w:tcW w:w="3203" w:type="dxa"/>
            <w:tcBorders/>
            <w:shd w:fill="auto" w:val="clear"/>
            <w:tcMar>
              <w:left w:w="108" w:type="dxa"/>
            </w:tcMar>
          </w:tcPr>
          <w:p>
            <w:pPr>
              <w:pStyle w:val="Normal"/>
              <w:jc w:val="center"/>
              <w:rPr>
                <w:rFonts w:ascii="Cambria" w:hAnsi="Cambria"/>
                <w:b/>
                <w:b/>
                <w:lang w:eastAsia="en-GB"/>
              </w:rPr>
            </w:pPr>
            <w:r>
              <w:rPr>
                <w:rFonts w:eastAsia="Cambria" w:cs="Times New Roman" w:eastAsiaTheme="minorHAnsi"/>
                <w:sz w:val="20"/>
                <w:szCs w:val="20"/>
                <w:lang w:val="fr-FR" w:eastAsia="en-GB"/>
              </w:rPr>
              <w:t>Catch</w:t>
            </w:r>
          </w:p>
        </w:tc>
        <w:tc>
          <w:tcPr>
            <w:tcW w:w="3962" w:type="dxa"/>
            <w:tcBorders/>
            <w:shd w:fill="auto" w:val="clear"/>
            <w:tcMar>
              <w:left w:w="108" w:type="dxa"/>
            </w:tcMar>
          </w:tcPr>
          <w:p>
            <w:pPr>
              <w:pStyle w:val="Normal"/>
              <w:jc w:val="both"/>
              <w:rPr>
                <w:rFonts w:ascii="Cambria" w:hAnsi="Cambria" w:eastAsia="ＭＳ 明朝" w:eastAsiaTheme="minorEastAsia"/>
                <w:b/>
                <w:b/>
                <w:lang w:eastAsia="ja-JP"/>
              </w:rPr>
            </w:pPr>
            <w:r>
              <w:rPr>
                <w:rFonts w:eastAsia="Cambria" w:cs="Times New Roman" w:ascii="Times New Roman" w:hAnsi="Times New Roman"/>
                <w:sz w:val="20"/>
                <w:szCs w:val="20"/>
                <w:lang w:val="fr-FR" w:eastAsia="en-GB"/>
              </w:rPr>
              <w:t xml:space="preserve">Mean in 15 </w:t>
            </w:r>
            <w:r>
              <w:rPr>
                <w:rFonts w:eastAsia="Cambria" w:cs="Times New Roman" w:ascii="Times New Roman" w:hAnsi="Times New Roman"/>
                <w:sz w:val="20"/>
                <w:szCs w:val="20"/>
                <w:lang w:val="fr-FR" w:eastAsia="ja-JP"/>
              </w:rPr>
              <w:t xml:space="preserve">and 30 </w:t>
            </w:r>
            <w:r>
              <w:rPr>
                <w:rFonts w:eastAsia="Cambria" w:cs="Times New Roman" w:ascii="Times New Roman" w:hAnsi="Times New Roman"/>
                <w:sz w:val="20"/>
                <w:szCs w:val="20"/>
                <w:lang w:val="fr-FR" w:eastAsia="en-GB"/>
              </w:rPr>
              <w:t>years</w:t>
            </w:r>
          </w:p>
        </w:tc>
      </w:tr>
      <w:tr>
        <w:trPr/>
        <w:tc>
          <w:tcPr>
            <w:tcW w:w="6985" w:type="dxa"/>
            <w:tcBorders/>
            <w:shd w:fill="auto" w:val="clear"/>
            <w:tcMar>
              <w:left w:w="108" w:type="dxa"/>
            </w:tcMar>
          </w:tcPr>
          <w:p>
            <w:pPr>
              <w:pStyle w:val="Normal"/>
              <w:tabs>
                <w:tab w:val="left" w:pos="284" w:leader="none"/>
              </w:tabs>
              <w:jc w:val="both"/>
              <w:rPr>
                <w:rFonts w:ascii="Cambria" w:hAnsi="Cambria" w:eastAsia="ＭＳ 明朝" w:eastAsiaTheme="minorEastAsia"/>
                <w:b/>
                <w:b/>
                <w:lang w:eastAsia="ja-JP"/>
              </w:rPr>
            </w:pPr>
            <w:r>
              <w:rPr>
                <w:rFonts w:eastAsia="Cambria" w:cs="Times New Roman" w:eastAsiaTheme="minorHAnsi"/>
                <w:b/>
                <w:sz w:val="20"/>
                <w:szCs w:val="20"/>
                <w:lang w:val="fr-FR" w:eastAsia="en-GB"/>
              </w:rPr>
              <w:t>4</w:t>
              <w:tab/>
              <w:t xml:space="preserve">Stability </w:t>
            </w:r>
          </w:p>
        </w:tc>
        <w:tc>
          <w:tcPr>
            <w:tcW w:w="3203" w:type="dxa"/>
            <w:tcBorders/>
            <w:shd w:fill="auto" w:val="clear"/>
            <w:tcMar>
              <w:left w:w="108" w:type="dxa"/>
            </w:tcMar>
          </w:tcPr>
          <w:p>
            <w:pPr>
              <w:pStyle w:val="Normal"/>
              <w:jc w:val="center"/>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c>
          <w:tcPr>
            <w:tcW w:w="3962" w:type="dxa"/>
            <w:tcBorders/>
            <w:shd w:fill="auto" w:val="clear"/>
            <w:tcMar>
              <w:left w:w="108" w:type="dxa"/>
            </w:tcMar>
          </w:tcPr>
          <w:p>
            <w:pPr>
              <w:pStyle w:val="Normal"/>
              <w:jc w:val="both"/>
              <w:rPr>
                <w:rFonts w:ascii="Times New Roman" w:hAnsi="Times New Roman" w:eastAsia="Cambria" w:cs="Times New Roman" w:eastAsiaTheme="minorHAnsi"/>
                <w:b/>
                <w:b/>
                <w:sz w:val="20"/>
                <w:szCs w:val="20"/>
                <w:lang w:val="fr-FR" w:eastAsia="en-GB"/>
              </w:rPr>
            </w:pPr>
            <w:r>
              <w:rPr>
                <w:rFonts w:eastAsia="Cambria" w:cs="Times New Roman" w:eastAsiaTheme="minorHAnsi" w:ascii="Times New Roman" w:hAnsi="Times New Roman"/>
                <w:b/>
                <w:sz w:val="20"/>
                <w:szCs w:val="20"/>
                <w:lang w:val="fr-FR" w:eastAsia="en-GB"/>
              </w:rPr>
            </w:r>
          </w:p>
        </w:tc>
      </w:tr>
      <w:tr>
        <w:trPr/>
        <w:tc>
          <w:tcPr>
            <w:tcW w:w="6985" w:type="dxa"/>
            <w:tcBorders/>
            <w:shd w:fill="auto" w:val="clear"/>
            <w:tcMar>
              <w:left w:w="108" w:type="dxa"/>
            </w:tcMar>
          </w:tcPr>
          <w:p>
            <w:pPr>
              <w:pStyle w:val="Normal"/>
              <w:ind w:left="284" w:hanging="0"/>
              <w:jc w:val="both"/>
              <w:rPr>
                <w:rFonts w:ascii="Cambria" w:hAnsi="Cambria"/>
                <w:lang w:val="en-US" w:eastAsia="en-GB"/>
              </w:rPr>
            </w:pPr>
            <w:r>
              <w:rPr>
                <w:rFonts w:eastAsia="Cambria" w:cs="Times New Roman" w:eastAsiaTheme="minorHAnsi"/>
                <w:sz w:val="20"/>
                <w:szCs w:val="20"/>
                <w:lang w:val="en-US" w:eastAsia="en-GB"/>
              </w:rPr>
              <w:t>4.1 Mean absolute proportional change in catch</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sz w:val="20"/>
                <w:szCs w:val="20"/>
                <w:lang w:val="fr-FR" w:eastAsia="en-GB"/>
              </w:rPr>
              <w:t>Catch (C)</w:t>
            </w:r>
          </w:p>
        </w:tc>
        <w:tc>
          <w:tcPr>
            <w:tcW w:w="3962" w:type="dxa"/>
            <w:tcBorders/>
            <w:shd w:fill="auto" w:val="clear"/>
            <w:tcMar>
              <w:left w:w="108" w:type="dxa"/>
            </w:tcMar>
          </w:tcPr>
          <w:p>
            <w:pPr>
              <w:pStyle w:val="Normal"/>
              <w:jc w:val="both"/>
              <w:rPr>
                <w:rFonts w:ascii="Cambria" w:hAnsi="Cambria"/>
                <w:lang w:val="en-US" w:eastAsia="en-GB"/>
              </w:rPr>
            </w:pPr>
            <w:r>
              <w:rPr>
                <w:rFonts w:eastAsia="Cambria" w:cs="Times New Roman" w:eastAsiaTheme="minorHAnsi" w:ascii="Times New Roman" w:hAnsi="Times New Roman"/>
                <w:sz w:val="20"/>
                <w:szCs w:val="20"/>
                <w:lang w:val="fr-FR" w:eastAsia="en-GB"/>
              </w:rPr>
              <w:t>Mean over [x] years of |(C</w:t>
            </w:r>
            <w:r>
              <w:rPr>
                <w:rFonts w:eastAsia="Cambria" w:cs="Times New Roman" w:eastAsiaTheme="minorHAnsi" w:ascii="Times New Roman" w:hAnsi="Times New Roman"/>
                <w:sz w:val="20"/>
                <w:szCs w:val="20"/>
                <w:vertAlign w:val="subscript"/>
                <w:lang w:val="fr-FR" w:eastAsia="en-GB"/>
              </w:rPr>
              <w:t>n</w:t>
            </w:r>
            <w:r>
              <w:rPr>
                <w:rFonts w:eastAsia="Cambria" w:cs="Times New Roman" w:eastAsiaTheme="minorHAnsi" w:ascii="Times New Roman" w:hAnsi="Times New Roman"/>
                <w:sz w:val="20"/>
                <w:szCs w:val="20"/>
                <w:lang w:val="fr-FR" w:eastAsia="en-GB"/>
              </w:rPr>
              <w:t>-C</w:t>
            </w:r>
            <w:r>
              <w:rPr>
                <w:rFonts w:eastAsia="Cambria" w:cs="Times New Roman" w:eastAsiaTheme="minorHAnsi" w:ascii="Times New Roman" w:hAnsi="Times New Roman"/>
                <w:sz w:val="20"/>
                <w:szCs w:val="20"/>
                <w:vertAlign w:val="subscript"/>
                <w:lang w:val="fr-FR" w:eastAsia="en-GB"/>
              </w:rPr>
              <w:t>n-1</w:t>
            </w:r>
            <w:r>
              <w:rPr>
                <w:rFonts w:eastAsia="Cambria" w:cs="Times New Roman" w:eastAsiaTheme="minorHAnsi" w:ascii="Times New Roman" w:hAnsi="Times New Roman"/>
                <w:sz w:val="20"/>
                <w:szCs w:val="20"/>
                <w:lang w:val="fr-FR" w:eastAsia="en-GB"/>
              </w:rPr>
              <w:t>/ C</w:t>
            </w:r>
            <w:r>
              <w:rPr>
                <w:rFonts w:eastAsia="Cambria" w:cs="Times New Roman" w:eastAsiaTheme="minorHAnsi" w:ascii="Times New Roman" w:hAnsi="Times New Roman"/>
                <w:sz w:val="20"/>
                <w:szCs w:val="20"/>
                <w:vertAlign w:val="subscript"/>
                <w:lang w:val="fr-FR" w:eastAsia="en-GB"/>
              </w:rPr>
              <w:t>n-1</w:t>
            </w:r>
            <w:r>
              <w:rPr>
                <w:rFonts w:eastAsia="Cambria" w:cs="Times New Roman" w:eastAsiaTheme="minorHAnsi" w:ascii="Times New Roman" w:hAnsi="Times New Roman"/>
                <w:sz w:val="20"/>
                <w:szCs w:val="20"/>
                <w:lang w:val="fr-FR" w:eastAsia="en-GB"/>
              </w:rPr>
              <w:t>|</w:t>
            </w:r>
          </w:p>
        </w:tc>
      </w:tr>
      <w:tr>
        <w:trPr/>
        <w:tc>
          <w:tcPr>
            <w:tcW w:w="6985" w:type="dxa"/>
            <w:tcBorders/>
            <w:shd w:fill="auto" w:val="clear"/>
            <w:tcMar>
              <w:left w:w="108" w:type="dxa"/>
            </w:tcMar>
          </w:tcPr>
          <w:p>
            <w:pPr>
              <w:pStyle w:val="Normal"/>
              <w:ind w:left="284" w:hanging="0"/>
              <w:jc w:val="both"/>
              <w:rPr>
                <w:rFonts w:ascii="Cambria" w:hAnsi="Cambria"/>
                <w:lang w:eastAsia="en-GB"/>
              </w:rPr>
            </w:pPr>
            <w:r>
              <w:rPr>
                <w:rFonts w:eastAsia="Cambria" w:cs="Times New Roman" w:eastAsiaTheme="minorHAnsi"/>
                <w:sz w:val="20"/>
                <w:szCs w:val="20"/>
                <w:lang w:val="fr-FR" w:eastAsia="en-GB"/>
              </w:rPr>
              <w:t>4.2 Variance in catch</w:t>
            </w:r>
          </w:p>
        </w:tc>
        <w:tc>
          <w:tcPr>
            <w:tcW w:w="3203" w:type="dxa"/>
            <w:tcBorders/>
            <w:shd w:fill="auto" w:val="clear"/>
            <w:tcMar>
              <w:left w:w="108" w:type="dxa"/>
            </w:tcMar>
          </w:tcPr>
          <w:p>
            <w:pPr>
              <w:pStyle w:val="Normal"/>
              <w:jc w:val="center"/>
              <w:rPr>
                <w:rFonts w:ascii="Cambria" w:hAnsi="Cambria"/>
                <w:lang w:eastAsia="en-GB"/>
              </w:rPr>
            </w:pPr>
            <w:r>
              <w:rPr>
                <w:rFonts w:eastAsia="Cambria" w:cs="Times New Roman" w:eastAsiaTheme="minorHAnsi"/>
                <w:sz w:val="20"/>
                <w:szCs w:val="20"/>
                <w:lang w:val="fr-FR" w:eastAsia="en-GB"/>
              </w:rPr>
              <w:t>Catch (C)</w:t>
            </w:r>
          </w:p>
        </w:tc>
        <w:tc>
          <w:tcPr>
            <w:tcW w:w="3962" w:type="dxa"/>
            <w:tcBorders/>
            <w:shd w:fill="auto" w:val="clear"/>
            <w:tcMar>
              <w:left w:w="108" w:type="dxa"/>
            </w:tcMar>
          </w:tcPr>
          <w:p>
            <w:pPr>
              <w:pStyle w:val="Normal"/>
              <w:jc w:val="both"/>
              <w:rPr>
                <w:rFonts w:ascii="Cambria" w:hAnsi="Cambria"/>
                <w:lang w:eastAsia="en-GB"/>
              </w:rPr>
            </w:pPr>
            <w:r>
              <w:rPr>
                <w:rFonts w:eastAsia="Cambria" w:cs="Times New Roman" w:eastAsiaTheme="minorHAnsi"/>
                <w:sz w:val="20"/>
                <w:szCs w:val="20"/>
                <w:lang w:val="fr-FR" w:eastAsia="en-GB"/>
              </w:rPr>
              <w:t>Variance over [x] years</w:t>
            </w:r>
          </w:p>
        </w:tc>
      </w:tr>
      <w:tr>
        <w:trPr/>
        <w:tc>
          <w:tcPr>
            <w:tcW w:w="6985" w:type="dxa"/>
            <w:tcBorders/>
            <w:shd w:fill="auto" w:val="clear"/>
            <w:tcMar>
              <w:left w:w="108" w:type="dxa"/>
            </w:tcMar>
          </w:tcPr>
          <w:p>
            <w:pPr>
              <w:pStyle w:val="Normal"/>
              <w:ind w:left="284" w:hanging="0"/>
              <w:jc w:val="both"/>
              <w:rPr>
                <w:rFonts w:ascii="Cambria" w:hAnsi="Cambria"/>
                <w:lang w:eastAsia="en-GB"/>
              </w:rPr>
            </w:pPr>
            <w:r>
              <w:rPr>
                <w:rFonts w:eastAsia="Cambria" w:cs="Times New Roman" w:eastAsiaTheme="minorHAnsi"/>
                <w:sz w:val="20"/>
                <w:szCs w:val="20"/>
                <w:lang w:val="fr-FR" w:eastAsia="en-GB"/>
              </w:rPr>
              <w:t>4.3 Probability of shutdown</w:t>
            </w:r>
          </w:p>
        </w:tc>
        <w:tc>
          <w:tcPr>
            <w:tcW w:w="3203" w:type="dxa"/>
            <w:tcBorders/>
            <w:shd w:fill="auto" w:val="clear"/>
            <w:tcMar>
              <w:left w:w="108" w:type="dxa"/>
            </w:tcMar>
          </w:tcPr>
          <w:p>
            <w:pPr>
              <w:pStyle w:val="Normal"/>
              <w:jc w:val="center"/>
              <w:rPr>
                <w:rFonts w:ascii="Cambria" w:hAnsi="Cambria" w:eastAsia="ＭＳ 明朝" w:eastAsiaTheme="minorEastAsia"/>
                <w:lang w:eastAsia="ja-JP"/>
              </w:rPr>
            </w:pPr>
            <w:r>
              <w:rPr>
                <w:rFonts w:eastAsia="ＭＳ 明朝" w:cs="Times New Roman" w:eastAsiaTheme="minorEastAsia"/>
                <w:sz w:val="20"/>
                <w:szCs w:val="20"/>
                <w:lang w:val="fr-FR" w:eastAsia="ja-JP"/>
              </w:rPr>
              <w:t>TAC</w:t>
            </w:r>
          </w:p>
        </w:tc>
        <w:tc>
          <w:tcPr>
            <w:tcW w:w="3962" w:type="dxa"/>
            <w:tcBorders/>
            <w:shd w:fill="auto" w:val="clear"/>
            <w:tcMar>
              <w:left w:w="108" w:type="dxa"/>
            </w:tcMar>
          </w:tcPr>
          <w:p>
            <w:pPr>
              <w:pStyle w:val="Normal"/>
              <w:jc w:val="both"/>
              <w:rPr>
                <w:rFonts w:ascii="Cambria" w:hAnsi="Cambria" w:eastAsia="Times New Roman"/>
                <w:lang w:val="en-US" w:eastAsia="en-GB"/>
              </w:rPr>
            </w:pPr>
            <w:r>
              <w:rPr>
                <w:rFonts w:eastAsia="Cambria" w:cs="Times New Roman" w:ascii="Times New Roman" w:hAnsi="Times New Roman"/>
                <w:sz w:val="20"/>
                <w:szCs w:val="20"/>
                <w:lang w:val="fr-FR" w:eastAsia="en-GB"/>
              </w:rPr>
              <w:t xml:space="preserve">Proportion of years that </w:t>
            </w:r>
            <w:r>
              <w:rPr>
                <w:rFonts w:eastAsia="Cambria" w:cs="Times New Roman" w:ascii="Times New Roman" w:hAnsi="Times New Roman"/>
                <w:sz w:val="20"/>
                <w:szCs w:val="20"/>
                <w:lang w:val="fr-FR" w:eastAsia="ja-JP"/>
              </w:rPr>
              <w:t>TA</w:t>
            </w:r>
            <w:r>
              <w:rPr>
                <w:rFonts w:eastAsia="Cambria" w:cs="Times New Roman" w:ascii="Times New Roman" w:hAnsi="Times New Roman"/>
                <w:sz w:val="20"/>
                <w:szCs w:val="20"/>
                <w:lang w:val="fr-FR" w:eastAsia="en-GB"/>
              </w:rPr>
              <w:t>C=0</w:t>
            </w:r>
          </w:p>
        </w:tc>
      </w:tr>
      <w:tr>
        <w:trPr/>
        <w:tc>
          <w:tcPr>
            <w:tcW w:w="6985" w:type="dxa"/>
            <w:tcBorders/>
            <w:shd w:fill="auto" w:val="clear"/>
            <w:tcMar>
              <w:left w:w="108" w:type="dxa"/>
            </w:tcMar>
          </w:tcPr>
          <w:p>
            <w:pPr>
              <w:pStyle w:val="Normal"/>
              <w:ind w:left="284" w:hanging="0"/>
              <w:jc w:val="both"/>
              <w:rPr>
                <w:rFonts w:ascii="Cambria" w:hAnsi="Cambria" w:eastAsia="ＭＳ 明朝" w:eastAsiaTheme="minorEastAsia"/>
                <w:lang w:val="en-US" w:eastAsia="ja-JP"/>
              </w:rPr>
            </w:pPr>
            <w:r>
              <w:rPr>
                <w:rFonts w:eastAsia="ＭＳ 明朝" w:cs="Times New Roman" w:eastAsiaTheme="minorEastAsia"/>
                <w:sz w:val="20"/>
                <w:szCs w:val="20"/>
                <w:lang w:val="en-US" w:eastAsia="ja-JP"/>
              </w:rPr>
              <w:t>4.4 Probability of TAC change  over a certain level</w:t>
            </w:r>
            <w:r>
              <w:rPr>
                <w:rStyle w:val="FootnoteAnchor"/>
                <w:rFonts w:eastAsia="ＭＳ 明朝" w:cs="Times New Roman" w:eastAsiaTheme="minorEastAsia"/>
                <w:sz w:val="20"/>
                <w:szCs w:val="20"/>
                <w:lang w:val="en-US" w:eastAsia="ja-JP"/>
              </w:rPr>
              <w:footnoteReference w:id="7"/>
            </w:r>
          </w:p>
        </w:tc>
        <w:tc>
          <w:tcPr>
            <w:tcW w:w="3203" w:type="dxa"/>
            <w:tcBorders/>
            <w:shd w:fill="auto" w:val="clear"/>
            <w:tcMar>
              <w:left w:w="108" w:type="dxa"/>
            </w:tcMar>
          </w:tcPr>
          <w:p>
            <w:pPr>
              <w:pStyle w:val="Normal"/>
              <w:jc w:val="center"/>
              <w:rPr>
                <w:rFonts w:ascii="Cambria" w:hAnsi="Cambria" w:eastAsia="ＭＳ 明朝" w:eastAsiaTheme="minorEastAsia"/>
                <w:lang w:eastAsia="ja-JP"/>
              </w:rPr>
            </w:pPr>
            <w:r>
              <w:rPr>
                <w:rFonts w:eastAsia="ＭＳ 明朝" w:cs="Times New Roman" w:eastAsiaTheme="minorEastAsia"/>
                <w:sz w:val="20"/>
                <w:szCs w:val="20"/>
                <w:lang w:val="fr-FR" w:eastAsia="ja-JP"/>
              </w:rPr>
              <w:t>TAC</w:t>
            </w:r>
          </w:p>
        </w:tc>
        <w:tc>
          <w:tcPr>
            <w:tcW w:w="3962" w:type="dxa"/>
            <w:tcBorders/>
            <w:shd w:fill="auto" w:val="clear"/>
            <w:tcMar>
              <w:left w:w="108" w:type="dxa"/>
            </w:tcMar>
          </w:tcPr>
          <w:p>
            <w:pPr>
              <w:pStyle w:val="Normal"/>
              <w:jc w:val="both"/>
              <w:rPr>
                <w:rFonts w:ascii="Cambria" w:hAnsi="Cambria" w:eastAsia="ＭＳ 明朝" w:eastAsiaTheme="minorEastAsia"/>
                <w:lang w:val="en-US" w:eastAsia="ja-JP"/>
              </w:rPr>
            </w:pPr>
            <w:r>
              <w:rPr>
                <w:rFonts w:eastAsia="Cambria" w:cs="Times New Roman" w:ascii="Times New Roman" w:hAnsi="Times New Roman"/>
                <w:sz w:val="20"/>
                <w:szCs w:val="20"/>
                <w:lang w:val="fr-FR" w:eastAsia="ja-JP"/>
              </w:rPr>
              <w:t>Proportion of management cycles when the ratio of change</w:t>
            </w:r>
            <w:r>
              <w:rPr>
                <w:rStyle w:val="FootnoteAnchor"/>
                <w:rFonts w:eastAsia="Cambria" w:cs="Times New Roman" w:ascii="Times New Roman" w:hAnsi="Times New Roman"/>
                <w:sz w:val="20"/>
                <w:szCs w:val="20"/>
                <w:lang w:val="fr-FR" w:eastAsia="ja-JP"/>
              </w:rPr>
              <w:footnoteReference w:id="8"/>
            </w:r>
            <w:r>
              <w:rPr>
                <w:rFonts w:eastAsia="Cambria" w:cs="Times New Roman" w:ascii="Times New Roman" w:hAnsi="Times New Roman"/>
                <w:sz w:val="20"/>
                <w:szCs w:val="20"/>
                <w:lang w:val="fr-FR" w:eastAsia="ja-JP"/>
              </w:rPr>
              <w:t xml:space="preserve"> (TAC</w:t>
            </w:r>
            <w:r>
              <w:rPr>
                <w:rFonts w:eastAsia="Cambria" w:cs="Times New Roman" w:ascii="Times New Roman" w:hAnsi="Times New Roman"/>
                <w:sz w:val="20"/>
                <w:szCs w:val="20"/>
                <w:vertAlign w:val="subscript"/>
                <w:lang w:val="fr-FR" w:eastAsia="ja-JP"/>
              </w:rPr>
              <w:t>n</w:t>
            </w:r>
            <w:r>
              <w:rPr>
                <w:rFonts w:eastAsia="Cambria" w:cs="Times New Roman" w:ascii="Times New Roman" w:hAnsi="Times New Roman"/>
                <w:sz w:val="20"/>
                <w:szCs w:val="20"/>
                <w:lang w:val="fr-FR" w:eastAsia="ja-JP"/>
              </w:rPr>
              <w:t>-TAC</w:t>
            </w:r>
            <w:r>
              <w:rPr>
                <w:rFonts w:eastAsia="Cambria" w:cs="Times New Roman" w:ascii="Times New Roman" w:hAnsi="Times New Roman"/>
                <w:sz w:val="20"/>
                <w:szCs w:val="20"/>
                <w:vertAlign w:val="subscript"/>
                <w:lang w:val="fr-FR" w:eastAsia="ja-JP"/>
              </w:rPr>
              <w:t>n-1</w:t>
            </w:r>
            <w:r>
              <w:rPr>
                <w:rFonts w:eastAsia="Cambria" w:cs="Times New Roman" w:ascii="Times New Roman" w:hAnsi="Times New Roman"/>
                <w:sz w:val="20"/>
                <w:szCs w:val="20"/>
                <w:lang w:val="fr-FR" w:eastAsia="ja-JP"/>
              </w:rPr>
              <w:t>)/TAC</w:t>
            </w:r>
            <w:r>
              <w:rPr>
                <w:rFonts w:eastAsia="Cambria" w:cs="Times New Roman" w:ascii="Times New Roman" w:hAnsi="Times New Roman"/>
                <w:sz w:val="20"/>
                <w:szCs w:val="20"/>
                <w:vertAlign w:val="subscript"/>
                <w:lang w:val="fr-FR" w:eastAsia="ja-JP"/>
              </w:rPr>
              <w:t>n-1</w:t>
            </w:r>
            <w:r>
              <w:rPr>
                <w:rFonts w:eastAsia="Cambria" w:cs="Times New Roman" w:ascii="Times New Roman" w:hAnsi="Times New Roman"/>
                <w:sz w:val="20"/>
                <w:szCs w:val="20"/>
                <w:lang w:val="fr-FR" w:eastAsia="ja-JP"/>
              </w:rPr>
              <w:t xml:space="preserve">&gt;X% </w:t>
            </w:r>
            <w:r>
              <w:rPr>
                <w:rFonts w:eastAsia="Cambria" w:cs="Times New Roman" w:ascii="Times New Roman" w:hAnsi="Times New Roman"/>
                <w:sz w:val="20"/>
                <w:szCs w:val="20"/>
                <w:lang w:val="fr-FR" w:eastAsia="en-GB"/>
              </w:rPr>
              <w:t xml:space="preserve"> </w:t>
            </w:r>
          </w:p>
        </w:tc>
      </w:tr>
      <w:tr>
        <w:trPr/>
        <w:tc>
          <w:tcPr>
            <w:tcW w:w="6985" w:type="dxa"/>
            <w:tcBorders/>
            <w:shd w:fill="auto" w:val="clear"/>
            <w:tcMar>
              <w:left w:w="108" w:type="dxa"/>
            </w:tcMar>
          </w:tcPr>
          <w:p>
            <w:pPr>
              <w:pStyle w:val="Normal"/>
              <w:ind w:left="284" w:hanging="0"/>
              <w:jc w:val="both"/>
              <w:rPr>
                <w:rFonts w:ascii="Cambria" w:hAnsi="Cambria" w:eastAsia="ＭＳ 明朝" w:eastAsiaTheme="minorEastAsia"/>
                <w:lang w:val="en-US" w:eastAsia="ja-JP"/>
              </w:rPr>
            </w:pPr>
            <w:r>
              <w:rPr>
                <w:rFonts w:eastAsia="Cambria" w:cs="Times New Roman" w:ascii="Times New Roman" w:hAnsi="Times New Roman"/>
                <w:sz w:val="20"/>
                <w:szCs w:val="20"/>
                <w:lang w:val="fr-FR" w:eastAsia="en-GB"/>
              </w:rPr>
              <w:t>4.</w:t>
            </w:r>
            <w:r>
              <w:rPr>
                <w:rFonts w:eastAsia="Cambria" w:cs="Times New Roman" w:ascii="Times New Roman" w:hAnsi="Times New Roman"/>
                <w:sz w:val="20"/>
                <w:szCs w:val="20"/>
                <w:lang w:val="fr-FR" w:eastAsia="ja-JP"/>
              </w:rPr>
              <w:t>5</w:t>
            </w:r>
            <w:r>
              <w:rPr>
                <w:rFonts w:eastAsia="Cambria" w:cs="Times New Roman" w:ascii="Times New Roman" w:hAnsi="Times New Roman"/>
                <w:sz w:val="20"/>
                <w:szCs w:val="20"/>
                <w:lang w:val="fr-FR" w:eastAsia="en-GB"/>
              </w:rPr>
              <w:t xml:space="preserve"> </w:t>
            </w:r>
            <w:r>
              <w:rPr>
                <w:rFonts w:eastAsia="Cambria" w:cs="Times New Roman" w:ascii="Times New Roman" w:hAnsi="Times New Roman"/>
                <w:sz w:val="20"/>
                <w:szCs w:val="20"/>
                <w:lang w:val="fr-FR" w:eastAsia="ja-JP"/>
              </w:rPr>
              <w:t>Maximum amount of TAC change between management periods</w:t>
            </w:r>
          </w:p>
        </w:tc>
        <w:tc>
          <w:tcPr>
            <w:tcW w:w="3203" w:type="dxa"/>
            <w:tcBorders/>
            <w:shd w:fill="auto" w:val="clear"/>
            <w:tcMar>
              <w:left w:w="108" w:type="dxa"/>
            </w:tcMar>
          </w:tcPr>
          <w:p>
            <w:pPr>
              <w:pStyle w:val="Normal"/>
              <w:jc w:val="center"/>
              <w:rPr>
                <w:rFonts w:ascii="Cambria" w:hAnsi="Cambria" w:eastAsia="ＭＳ 明朝" w:eastAsiaTheme="minorEastAsia"/>
                <w:lang w:eastAsia="ja-JP"/>
              </w:rPr>
            </w:pPr>
            <w:r>
              <w:rPr>
                <w:rFonts w:eastAsia="Cambria" w:cs="Times New Roman" w:eastAsiaTheme="minorHAnsi"/>
                <w:sz w:val="20"/>
                <w:szCs w:val="20"/>
                <w:lang w:val="fr-FR" w:eastAsia="en-GB"/>
              </w:rPr>
              <w:t>TAC</w:t>
            </w:r>
          </w:p>
        </w:tc>
        <w:tc>
          <w:tcPr>
            <w:tcW w:w="3962" w:type="dxa"/>
            <w:tcBorders/>
            <w:shd w:fill="auto" w:val="clear"/>
            <w:tcMar>
              <w:left w:w="108" w:type="dxa"/>
            </w:tcMar>
          </w:tcPr>
          <w:p>
            <w:pPr>
              <w:pStyle w:val="Normal"/>
              <w:jc w:val="both"/>
              <w:rPr>
                <w:rFonts w:ascii="Cambria" w:hAnsi="Cambria" w:eastAsia="ＭＳ 明朝" w:eastAsiaTheme="minorEastAsia"/>
                <w:lang w:eastAsia="ja-JP"/>
              </w:rPr>
            </w:pPr>
            <w:r>
              <w:rPr>
                <w:rFonts w:eastAsia="Cambria" w:cs="Times New Roman" w:ascii="Times New Roman" w:hAnsi="Times New Roman"/>
                <w:sz w:val="20"/>
                <w:szCs w:val="20"/>
                <w:lang w:val="fr-FR" w:eastAsia="ja-JP"/>
              </w:rPr>
              <w:t>Maximum</w:t>
            </w:r>
            <w:r>
              <w:rPr>
                <w:rFonts w:eastAsia="Cambria" w:cs="Times New Roman" w:ascii="Times New Roman" w:hAnsi="Times New Roman"/>
                <w:sz w:val="20"/>
                <w:szCs w:val="20"/>
                <w:lang w:val="fr-FR" w:eastAsia="en-GB"/>
              </w:rPr>
              <w:t xml:space="preserve"> ratio of change</w:t>
            </w:r>
            <w:r>
              <w:rPr>
                <w:rStyle w:val="FootnoteAnchor"/>
                <w:rFonts w:eastAsia="Cambria" w:cs="Times New Roman" w:ascii="Times New Roman" w:hAnsi="Times New Roman"/>
                <w:sz w:val="20"/>
                <w:szCs w:val="20"/>
                <w:lang w:val="fr-FR" w:eastAsia="en-GB"/>
              </w:rPr>
              <w:footnoteReference w:id="9"/>
            </w:r>
          </w:p>
        </w:tc>
      </w:tr>
    </w:tbl>
    <w:p>
      <w:pPr>
        <w:sectPr>
          <w:headerReference w:type="default" r:id="rId12"/>
          <w:footerReference w:type="default" r:id="rId13"/>
          <w:footnotePr>
            <w:numFmt w:val="decimal"/>
          </w:footnotePr>
          <w:type w:val="nextPage"/>
          <w:pgSz w:orient="landscape" w:w="16838" w:h="11906"/>
          <w:pgMar w:left="1418" w:right="1418" w:header="851" w:top="1418" w:footer="1134" w:bottom="1418" w:gutter="0"/>
          <w:pgNumType w:fmt="decimal"/>
          <w:formProt w:val="false"/>
          <w:textDirection w:val="lrTb"/>
          <w:docGrid w:type="default" w:linePitch="360" w:charSpace="4294961151"/>
        </w:sectPr>
        <w:pStyle w:val="Normal"/>
        <w:jc w:val="both"/>
        <w:rPr>
          <w:rFonts w:ascii="Cambria" w:hAnsi="Cambria" w:eastAsia="Times New Roman"/>
          <w:b/>
          <w:b/>
          <w:sz w:val="20"/>
          <w:szCs w:val="20"/>
          <w:lang w:eastAsia="en-GB"/>
        </w:rPr>
      </w:pPr>
      <w:r>
        <w:rPr>
          <w:rFonts w:eastAsia="Times New Roman"/>
          <w:b/>
          <w:sz w:val="20"/>
          <w:szCs w:val="20"/>
          <w:lang w:eastAsia="en-GB"/>
        </w:rPr>
      </w:r>
    </w:p>
    <w:p>
      <w:pPr>
        <w:pStyle w:val="Normal"/>
        <w:jc w:val="right"/>
        <w:rPr>
          <w:b/>
          <w:b/>
          <w:sz w:val="20"/>
          <w:szCs w:val="20"/>
        </w:rPr>
      </w:pPr>
      <w:r>
        <w:rPr>
          <w:b/>
          <w:sz w:val="20"/>
          <w:szCs w:val="20"/>
        </w:rPr>
        <w:t>Appendix 5</w:t>
      </w:r>
    </w:p>
    <w:p>
      <w:pPr>
        <w:pStyle w:val="Normal"/>
        <w:jc w:val="center"/>
        <w:rPr>
          <w:rFonts w:ascii="Cambria" w:hAnsi="Cambria"/>
          <w:b/>
          <w:b/>
          <w:sz w:val="20"/>
          <w:szCs w:val="20"/>
        </w:rPr>
      </w:pPr>
      <w:r>
        <w:rPr>
          <w:b/>
          <w:sz w:val="20"/>
          <w:szCs w:val="20"/>
        </w:rPr>
      </w:r>
    </w:p>
    <w:p>
      <w:pPr>
        <w:pStyle w:val="Normal"/>
        <w:jc w:val="center"/>
        <w:rPr>
          <w:rFonts w:ascii="Cambria" w:hAnsi="Cambria"/>
          <w:b/>
          <w:b/>
          <w:sz w:val="20"/>
          <w:szCs w:val="20"/>
        </w:rPr>
      </w:pPr>
      <w:r>
        <w:rPr>
          <w:b/>
          <w:sz w:val="20"/>
          <w:szCs w:val="20"/>
        </w:rPr>
        <w:t xml:space="preserve">Request by the European Union </w:t>
      </w:r>
    </w:p>
    <w:p>
      <w:pPr>
        <w:pStyle w:val="Normal"/>
        <w:jc w:val="center"/>
        <w:rPr>
          <w:rFonts w:ascii="Cambria" w:hAnsi="Cambria"/>
          <w:b/>
          <w:b/>
          <w:sz w:val="20"/>
          <w:szCs w:val="20"/>
        </w:rPr>
      </w:pPr>
      <w:r>
        <w:rPr>
          <w:b/>
          <w:sz w:val="20"/>
          <w:szCs w:val="20"/>
        </w:rPr>
        <w:t>for clarification by the commission regarding the use</w:t>
      </w:r>
    </w:p>
    <w:p>
      <w:pPr>
        <w:pStyle w:val="Normal"/>
        <w:jc w:val="center"/>
        <w:rPr>
          <w:rFonts w:ascii="Cambria" w:hAnsi="Cambria"/>
          <w:b/>
          <w:b/>
          <w:sz w:val="20"/>
          <w:szCs w:val="20"/>
        </w:rPr>
      </w:pPr>
      <w:r>
        <w:rPr>
          <w:b/>
          <w:sz w:val="20"/>
          <w:szCs w:val="20"/>
        </w:rPr>
        <w:t>of algorithms for the purpose of bluefin tuna caging operations</w:t>
      </w:r>
    </w:p>
    <w:p>
      <w:pPr>
        <w:pStyle w:val="Normal"/>
        <w:jc w:val="center"/>
        <w:rPr>
          <w:rFonts w:ascii="Cambria" w:hAnsi="Cambria"/>
          <w:b/>
          <w:b/>
          <w:sz w:val="20"/>
          <w:szCs w:val="20"/>
        </w:rPr>
      </w:pPr>
      <w:r>
        <w:rPr>
          <w:b/>
          <w:sz w:val="20"/>
          <w:szCs w:val="20"/>
        </w:rPr>
      </w:r>
    </w:p>
    <w:p>
      <w:pPr>
        <w:pStyle w:val="Normal"/>
        <w:jc w:val="center"/>
        <w:rPr>
          <w:rFonts w:ascii="Cambria" w:hAnsi="Cambria"/>
          <w:i/>
          <w:i/>
          <w:sz w:val="20"/>
          <w:szCs w:val="20"/>
        </w:rPr>
      </w:pPr>
      <w:r>
        <w:rPr>
          <w:i/>
          <w:sz w:val="20"/>
          <w:szCs w:val="20"/>
        </w:rPr>
        <w:t>(Document submitted by the European Union)</w:t>
      </w:r>
    </w:p>
    <w:p>
      <w:pPr>
        <w:pStyle w:val="Normal"/>
        <w:jc w:val="both"/>
        <w:rPr>
          <w:rFonts w:ascii="Cambria" w:hAnsi="Cambria"/>
          <w:sz w:val="20"/>
          <w:szCs w:val="20"/>
        </w:rPr>
      </w:pPr>
      <w:r>
        <w:rPr>
          <w:sz w:val="20"/>
          <w:szCs w:val="20"/>
        </w:rPr>
      </w:r>
    </w:p>
    <w:p>
      <w:pPr>
        <w:pStyle w:val="Normal"/>
        <w:jc w:val="both"/>
        <w:rPr>
          <w:rFonts w:ascii="Cambria" w:hAnsi="Cambria"/>
          <w:sz w:val="20"/>
          <w:szCs w:val="20"/>
        </w:rPr>
      </w:pPr>
      <w:r>
        <w:rPr>
          <w:sz w:val="20"/>
          <w:szCs w:val="20"/>
        </w:rPr>
        <w:t xml:space="preserve">Caging operations for bluefin tuna are subject to significant controls, defined under Annex </w:t>
      </w:r>
      <w:bookmarkStart w:id="0" w:name="_GoBack"/>
      <w:r>
        <w:rPr>
          <w:sz w:val="20"/>
          <w:szCs w:val="20"/>
        </w:rPr>
        <w:t>9</w:t>
      </w:r>
      <w:bookmarkEnd w:id="0"/>
      <w:r>
        <w:rPr>
          <w:sz w:val="20"/>
          <w:szCs w:val="20"/>
        </w:rPr>
        <w:t xml:space="preserve"> of Recommendation [14-04]. Amongst these provisions, it is compulsory to use the most up-to-date Length/Weight relationships (algorithms) established by SCRS in order to convert lengths into weights.</w:t>
      </w:r>
    </w:p>
    <w:p>
      <w:pPr>
        <w:pStyle w:val="Normal"/>
        <w:jc w:val="both"/>
        <w:rPr>
          <w:rFonts w:ascii="Cambria" w:hAnsi="Cambria"/>
          <w:sz w:val="20"/>
          <w:szCs w:val="20"/>
        </w:rPr>
      </w:pPr>
      <w:r>
        <w:rPr>
          <w:sz w:val="20"/>
          <w:szCs w:val="20"/>
        </w:rPr>
      </w:r>
    </w:p>
    <w:p>
      <w:pPr>
        <w:pStyle w:val="Normal"/>
        <w:jc w:val="both"/>
        <w:rPr>
          <w:rFonts w:ascii="Cambria" w:hAnsi="Cambria"/>
          <w:sz w:val="20"/>
          <w:szCs w:val="20"/>
        </w:rPr>
      </w:pPr>
      <w:r>
        <w:rPr>
          <w:sz w:val="20"/>
          <w:szCs w:val="20"/>
        </w:rPr>
        <w:t>New algorithms were adopted by SCRS in 2015 and should therefore have been used for the purpose of caging bluefin tuna in 2016. However, the publication of these algorithms on the ICCAT website created some level of uncertainty since an annual algorithm for the Eastern stock was provided (under Table 1 of the document on bluefin tuna conversion factors available on the ICCAT website</w:t>
      </w:r>
      <w:r>
        <w:rPr>
          <w:rStyle w:val="FootnoteAnchor"/>
          <w:sz w:val="20"/>
          <w:szCs w:val="20"/>
        </w:rPr>
        <w:footnoteReference w:id="10"/>
      </w:r>
      <w:r>
        <w:rPr>
          <w:sz w:val="20"/>
          <w:szCs w:val="20"/>
        </w:rPr>
        <w:t>) along with monthly algorithms (Table 2 of the same document), leaving the possibility for farming CPCs to use either one. The outcomes from applying the annual or the monthly algorithm vary markedly and therefore have a very significant impact on the estimation of the quantities caged and ultimately on the quota uptake for each CPC.</w:t>
      </w:r>
    </w:p>
    <w:p>
      <w:pPr>
        <w:pStyle w:val="Normal"/>
        <w:jc w:val="both"/>
        <w:rPr>
          <w:rFonts w:ascii="Cambria" w:hAnsi="Cambria"/>
          <w:sz w:val="20"/>
          <w:szCs w:val="20"/>
        </w:rPr>
      </w:pPr>
      <w:r>
        <w:rPr>
          <w:sz w:val="20"/>
          <w:szCs w:val="20"/>
        </w:rPr>
        <w:t xml:space="preserve">The European Union would like to request the Commission to clarify which algorithm(s) must be applied for the purpose of using stereoscopical cameras to estimate the quantities caged, starting in 2017. This clarification is necessary, in order to provide operators and administrations with the legal clarity to conduct the caging operations and also to ensure the necessary level playing field between the ICCAT CPCs. </w:t>
      </w:r>
    </w:p>
    <w:p>
      <w:pPr>
        <w:pStyle w:val="Normal"/>
        <w:jc w:val="both"/>
        <w:rPr>
          <w:rFonts w:ascii="Cambria" w:hAnsi="Cambria"/>
          <w:sz w:val="20"/>
          <w:szCs w:val="20"/>
        </w:rPr>
      </w:pPr>
      <w:r>
        <w:rPr>
          <w:sz w:val="20"/>
          <w:szCs w:val="20"/>
        </w:rPr>
      </w:r>
    </w:p>
    <w:p>
      <w:pPr>
        <w:pStyle w:val="Normal"/>
        <w:jc w:val="both"/>
        <w:rPr>
          <w:rFonts w:ascii="Cambria" w:hAnsi="Cambria"/>
          <w:sz w:val="20"/>
          <w:szCs w:val="20"/>
        </w:rPr>
      </w:pPr>
      <w:r>
        <w:rPr>
          <w:sz w:val="20"/>
          <w:szCs w:val="20"/>
        </w:rPr>
        <w:t>In accordance with this clarification, the document containing the most recent algorithms updated by SCRS, and published on the ICCAT website, should also clearly identify which algorithm(s) are to be used for the purpose of caging operations.</w:t>
      </w:r>
    </w:p>
    <w:p>
      <w:pPr>
        <w:pStyle w:val="Normal"/>
        <w:jc w:val="both"/>
        <w:rPr>
          <w:rFonts w:ascii="Cambria" w:hAnsi="Cambria"/>
          <w:sz w:val="20"/>
          <w:szCs w:val="20"/>
        </w:rPr>
      </w:pPr>
      <w:r>
        <w:rPr>
          <w:sz w:val="20"/>
          <w:szCs w:val="20"/>
        </w:rPr>
      </w:r>
    </w:p>
    <w:p>
      <w:pPr>
        <w:pStyle w:val="Normal"/>
        <w:spacing w:lineRule="atLeast" w:line="240"/>
        <w:jc w:val="both"/>
        <w:rPr>
          <w:rFonts w:ascii="Cambria" w:hAnsi="Cambria"/>
          <w:sz w:val="20"/>
          <w:szCs w:val="20"/>
        </w:rPr>
      </w:pPr>
      <w:r>
        <w:rPr>
          <w:sz w:val="20"/>
          <w:szCs w:val="20"/>
        </w:rPr>
      </w:r>
    </w:p>
    <w:p>
      <w:pPr>
        <w:pStyle w:val="Normal"/>
        <w:tabs>
          <w:tab w:val="left" w:pos="2310" w:leader="none"/>
        </w:tabs>
        <w:rPr/>
      </w:pPr>
      <w:r>
        <w:rPr/>
      </w:r>
    </w:p>
    <w:sectPr>
      <w:headerReference w:type="default" r:id="rId14"/>
      <w:footerReference w:type="default" r:id="rId15"/>
      <w:footnotePr>
        <w:numFmt w:val="decimal"/>
      </w:footnotePr>
      <w:type w:val="nextPage"/>
      <w:pgSz w:w="11906" w:h="16838"/>
      <w:pgMar w:left="1418" w:right="1418" w:header="851" w:top="1418" w:footer="1134"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4630161"/>
    </w:sdtPr>
    <w:sdtContent>
      <w:p>
        <w:pPr>
          <w:pStyle w:val="Footer"/>
          <w:jc w:val="center"/>
          <w:rPr/>
        </w:pPr>
        <w:r>
          <w:rPr>
            <w:sz w:val="20"/>
            <w:szCs w:val="20"/>
          </w:rPr>
          <w:fldChar w:fldCharType="begin"/>
        </w:r>
        <w:r>
          <w:instrText> PAGE </w:instrText>
        </w:r>
        <w:r>
          <w:fldChar w:fldCharType="separate"/>
        </w:r>
        <w:r>
          <w:t>14</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1160687"/>
    </w:sdtPr>
    <w:sdtContent>
      <w:p>
        <w:pPr>
          <w:pStyle w:val="Footer"/>
          <w:jc w:val="center"/>
          <w:rPr/>
        </w:pPr>
        <w:r>
          <w:rPr>
            <w:sz w:val="20"/>
            <w:szCs w:val="20"/>
          </w:rPr>
          <w:fldChar w:fldCharType="begin"/>
        </w:r>
        <w:r>
          <w:instrText> PAGE </w:instrText>
        </w:r>
        <w:r>
          <w:fldChar w:fldCharType="separate"/>
        </w:r>
        <w:r>
          <w:t>17</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822983"/>
    </w:sdtPr>
    <w:sdtContent>
      <w:p>
        <w:pPr>
          <w:pStyle w:val="Footer"/>
          <w:jc w:val="center"/>
          <w:rPr/>
        </w:pPr>
        <w:r>
          <w:rPr>
            <w:sz w:val="20"/>
            <w:szCs w:val="20"/>
          </w:rPr>
          <w:fldChar w:fldCharType="begin"/>
        </w:r>
        <w:r>
          <w:instrText> PAGE </w:instrText>
        </w:r>
        <w:r>
          <w:fldChar w:fldCharType="separate"/>
        </w:r>
        <w:r>
          <w:t>18</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Fonts w:ascii="Calibri" w:hAnsi="Calibri" w:asciiTheme="majorHAnsi" w:hAnsiTheme="majorHAnsi"/>
          <w:sz w:val="16"/>
          <w:szCs w:val="16"/>
        </w:rPr>
        <w:footnoteRef/>
        <w:tab/>
      </w:r>
      <w:r>
        <w:rPr>
          <w:rFonts w:ascii="Calibri" w:hAnsi="Calibri" w:asciiTheme="majorHAnsi" w:hAnsiTheme="majorHAnsi"/>
          <w:sz w:val="16"/>
          <w:szCs w:val="16"/>
        </w:rPr>
        <w:t xml:space="preserve"> </w:t>
      </w:r>
      <w:r>
        <w:rPr>
          <w:rFonts w:ascii="Calibri" w:hAnsi="Calibri" w:asciiTheme="majorHAnsi" w:hAnsiTheme="majorHAnsi"/>
          <w:sz w:val="16"/>
          <w:szCs w:val="16"/>
        </w:rPr>
        <w:t>Head Delegate.</w:t>
      </w:r>
    </w:p>
  </w:footnote>
  <w:footnote w:id="3">
    <w:p>
      <w:pPr>
        <w:pStyle w:val="Footnotetext"/>
        <w:spacing w:before="0" w:after="200"/>
        <w:jc w:val="both"/>
        <w:rPr/>
      </w:pPr>
      <w:r>
        <w:rPr>
          <w:rStyle w:val="Footnotereference"/>
          <w:sz w:val="16"/>
          <w:szCs w:val="16"/>
          <w:u w:val="single"/>
        </w:rPr>
        <w:footnoteRef/>
        <w:tab/>
      </w:r>
      <w:r>
        <w:rPr>
          <w:sz w:val="16"/>
          <w:szCs w:val="16"/>
          <w:u w:val="single"/>
        </w:rPr>
        <w:t xml:space="preserve"> </w:t>
      </w:r>
      <w:r>
        <w:rPr>
          <w:b/>
          <w:sz w:val="16"/>
          <w:szCs w:val="16"/>
          <w:u w:val="single"/>
        </w:rPr>
        <w:t xml:space="preserve">Annex 1 </w:t>
      </w:r>
      <w:r>
        <w:rPr>
          <w:sz w:val="16"/>
          <w:szCs w:val="16"/>
          <w:u w:val="single"/>
        </w:rPr>
        <w:t xml:space="preserve">provides a generic form of the HCR recommended by SCRS in 2010 that would be consistent with UNFSA. </w:t>
      </w:r>
    </w:p>
  </w:footnote>
  <w:footnote w:id="4">
    <w:p>
      <w:pPr>
        <w:pStyle w:val="Footnotetext"/>
        <w:spacing w:lineRule="auto" w:line="240" w:before="0" w:after="0"/>
        <w:jc w:val="both"/>
        <w:rPr/>
      </w:pPr>
      <w:r>
        <w:rPr>
          <w:rStyle w:val="Footnotereference"/>
        </w:rPr>
        <w:footnoteRef/>
        <w:tab/>
      </w:r>
      <w:r>
        <w:rPr>
          <w:sz w:val="16"/>
          <w:szCs w:val="16"/>
        </w:rPr>
        <w:t xml:space="preserve"> </w:t>
      </w:r>
      <w:r>
        <w:rPr>
          <w:sz w:val="16"/>
          <w:szCs w:val="16"/>
        </w:rPr>
        <w:t>This indicator provides an indication of the expected CPUE of adult fish because CPUE is assumed to track biomass.</w:t>
      </w:r>
    </w:p>
  </w:footnote>
  <w:footnote w:id="5">
    <w:p>
      <w:pPr>
        <w:pStyle w:val="Footnotetext"/>
        <w:spacing w:lineRule="auto" w:line="240" w:before="0" w:after="0"/>
        <w:jc w:val="both"/>
        <w:rPr/>
      </w:pPr>
      <w:r>
        <w:rPr>
          <w:rStyle w:val="Footnotereference"/>
          <w:sz w:val="16"/>
          <w:szCs w:val="16"/>
        </w:rPr>
        <w:footnoteRef/>
        <w:tab/>
      </w:r>
      <w:r>
        <w:rPr>
          <w:sz w:val="16"/>
          <w:szCs w:val="16"/>
        </w:rPr>
        <w:t xml:space="preserve"> </w:t>
      </w:r>
      <w:r>
        <w:rPr>
          <w:sz w:val="16"/>
          <w:szCs w:val="16"/>
        </w:rPr>
        <w:t xml:space="preserve">This  indicator is only useful to distinguish the performance of strategies which fulfil the objective represented by 1.4 </w:t>
      </w:r>
    </w:p>
  </w:footnote>
  <w:footnote w:id="6">
    <w:p>
      <w:pPr>
        <w:pStyle w:val="Normal"/>
        <w:jc w:val="both"/>
        <w:rPr/>
      </w:pPr>
      <w:r>
        <w:rPr>
          <w:rStyle w:val="Footnotereference"/>
          <w:sz w:val="16"/>
          <w:szCs w:val="16"/>
        </w:rPr>
        <w:footnoteRef/>
        <w:tab/>
      </w:r>
      <w:r>
        <w:rPr>
          <w:sz w:val="16"/>
          <w:szCs w:val="16"/>
        </w:rPr>
        <w:t xml:space="preserve">  </w:t>
      </w:r>
      <w:r>
        <w:rPr>
          <w:sz w:val="16"/>
          <w:szCs w:val="16"/>
        </w:rPr>
        <w:t>This differs slightly from being equal to 1- Probability of a shutdown (4.3), because of the choice of having a management cycle of 3 years. In the next management cycle after B has been determined to be less than B</w:t>
      </w:r>
      <w:r>
        <w:rPr>
          <w:sz w:val="16"/>
          <w:szCs w:val="16"/>
          <w:vertAlign w:val="subscript"/>
        </w:rPr>
        <w:t>lim</w:t>
      </w:r>
      <w:r>
        <w:rPr>
          <w:sz w:val="16"/>
          <w:szCs w:val="16"/>
        </w:rPr>
        <w:t xml:space="preserve"> the TAC is fixed during three years to the level corresponding to F</w:t>
      </w:r>
      <w:r>
        <w:rPr>
          <w:sz w:val="16"/>
          <w:szCs w:val="16"/>
          <w:vertAlign w:val="subscript"/>
        </w:rPr>
        <w:t>lim</w:t>
      </w:r>
      <w:r>
        <w:rPr>
          <w:sz w:val="16"/>
          <w:szCs w:val="16"/>
        </w:rPr>
        <w:t>, and the catch will stay at such minimum level for three years. The biomass, however, may react quickly to the lowering of F and increase rapidly so that one or more of the three years of the cycle will have B&gt;B</w:t>
      </w:r>
      <w:r>
        <w:rPr>
          <w:sz w:val="16"/>
          <w:szCs w:val="16"/>
          <w:vertAlign w:val="subscript"/>
        </w:rPr>
        <w:t>lim</w:t>
      </w:r>
      <w:r>
        <w:rPr>
          <w:sz w:val="16"/>
          <w:szCs w:val="16"/>
        </w:rPr>
        <w:t xml:space="preserve">. </w:t>
      </w:r>
    </w:p>
  </w:footnote>
  <w:footnote w:id="7">
    <w:p>
      <w:pPr>
        <w:pStyle w:val="Footnotetext"/>
        <w:spacing w:lineRule="auto" w:line="240" w:before="0" w:after="0"/>
        <w:jc w:val="both"/>
        <w:rPr/>
      </w:pPr>
      <w:r>
        <w:rPr>
          <w:rStyle w:val="Footnotereference"/>
          <w:sz w:val="16"/>
          <w:szCs w:val="16"/>
        </w:rPr>
        <w:footnoteRef/>
        <w:tab/>
      </w:r>
      <w:r>
        <w:rPr>
          <w:sz w:val="16"/>
          <w:szCs w:val="16"/>
        </w:rPr>
        <w:t xml:space="preserve"> </w:t>
      </w:r>
      <w:r>
        <w:rPr>
          <w:sz w:val="16"/>
          <w:szCs w:val="16"/>
          <w:lang w:eastAsia="ja-JP"/>
        </w:rPr>
        <w:t>Useful in the absence of TAC-related constraints in the harvest control rule.</w:t>
      </w:r>
    </w:p>
  </w:footnote>
  <w:footnote w:id="8">
    <w:p>
      <w:pPr>
        <w:pStyle w:val="Footnotetext"/>
        <w:spacing w:lineRule="auto" w:line="240" w:before="0" w:after="0"/>
        <w:jc w:val="both"/>
        <w:rPr/>
      </w:pPr>
      <w:r>
        <w:rPr>
          <w:rStyle w:val="Footnotereference"/>
          <w:sz w:val="16"/>
          <w:szCs w:val="16"/>
        </w:rPr>
        <w:footnoteRef/>
        <w:tab/>
      </w:r>
      <w:r>
        <w:rPr>
          <w:sz w:val="16"/>
          <w:szCs w:val="16"/>
        </w:rPr>
        <w:t xml:space="preserve"> </w:t>
      </w:r>
      <w:r>
        <w:rPr>
          <w:sz w:val="16"/>
          <w:szCs w:val="16"/>
          <w:lang w:eastAsia="ja-JP"/>
        </w:rPr>
        <w:t xml:space="preserve"> </w:t>
      </w:r>
      <w:r>
        <w:rPr>
          <w:sz w:val="16"/>
          <w:szCs w:val="16"/>
          <w:lang w:eastAsia="ja-JP"/>
        </w:rPr>
        <w:t>Positive and negative changes to be reported separately</w:t>
      </w:r>
    </w:p>
  </w:footnote>
  <w:footnote w:id="9">
    <w:p>
      <w:pPr>
        <w:pStyle w:val="Footnotetext"/>
        <w:spacing w:lineRule="auto" w:line="240" w:before="0" w:after="0"/>
        <w:jc w:val="both"/>
        <w:rPr/>
      </w:pPr>
      <w:r>
        <w:rPr>
          <w:rStyle w:val="Footnotereference"/>
          <w:sz w:val="16"/>
          <w:szCs w:val="16"/>
        </w:rPr>
        <w:footnoteRef/>
        <w:tab/>
      </w:r>
      <w:r>
        <w:rPr>
          <w:sz w:val="16"/>
          <w:szCs w:val="16"/>
        </w:rPr>
        <w:t xml:space="preserve"> </w:t>
      </w:r>
      <w:r>
        <w:rPr>
          <w:sz w:val="16"/>
          <w:szCs w:val="16"/>
          <w:lang w:eastAsia="ja-JP"/>
        </w:rPr>
        <w:t xml:space="preserve"> </w:t>
      </w:r>
      <w:r>
        <w:rPr>
          <w:sz w:val="16"/>
          <w:szCs w:val="16"/>
          <w:lang w:eastAsia="ja-JP"/>
        </w:rPr>
        <w:t>Positive and negative changes to be reported separately</w:t>
      </w:r>
    </w:p>
  </w:footnote>
  <w:footnote w:id="10">
    <w:p>
      <w:pPr>
        <w:pStyle w:val="Footnotetext"/>
        <w:spacing w:before="0" w:after="200"/>
        <w:rPr/>
      </w:pPr>
      <w:r>
        <w:rPr>
          <w:rStyle w:val="Footnotereference"/>
        </w:rPr>
        <w:footnoteRef/>
        <w:tab/>
      </w:r>
      <w:r>
        <w:rPr>
          <w:sz w:val="16"/>
          <w:szCs w:val="16"/>
        </w:rPr>
        <w:t xml:space="preserve"> </w:t>
      </w:r>
      <w:hyperlink r:id="rId1">
        <w:r>
          <w:rPr>
            <w:rStyle w:val="InternetLink"/>
            <w:color w:val="00000A"/>
            <w:sz w:val="16"/>
            <w:szCs w:val="16"/>
            <w:u w:val="none"/>
          </w:rPr>
          <w:t>www.iccat.int/Documents/SCRS/Manual/Appendices/Appendix_4_III_BFT_ENG.pdf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cs="Arial"/>
        <w:sz w:val="18"/>
        <w:szCs w:val="18"/>
        <w:lang w:val="es-ES"/>
      </w:rPr>
    </w:pPr>
    <w:r>
      <w:rPr>
        <w:rFonts w:cs="Arial" w:ascii="Arial" w:hAnsi="Arial"/>
        <w:sz w:val="18"/>
        <w:szCs w:val="18"/>
        <w:lang w:val="es-ES"/>
      </w:rPr>
      <w:t>PANEL 2 INTERSESSIONAL MEETING, SAPPORO 2016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Arial" w:ascii="Arial" w:hAnsi="Arial"/>
        <w:sz w:val="18"/>
        <w:szCs w:val="18"/>
        <w:lang w:val="es-ES"/>
      </w:rPr>
      <w:t>PANEL 2 INTERSESSIONAL, SAPPORO 2016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Arial" w:ascii="Arial" w:hAnsi="Arial"/>
        <w:sz w:val="18"/>
        <w:szCs w:val="18"/>
        <w:lang w:val="es-ES"/>
      </w:rPr>
      <w:t>PANEL 2 INTERSESSIONAL, SAPPORO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sz w:val="20"/>
        <w:rFonts w:ascii="Cambria" w:hAnsi="Cambria" w:cs="Times New Roman"/>
        <w:color w:val="00000A"/>
      </w:rPr>
    </w:lvl>
    <w:lvl w:ilvl="1">
      <w:start w:val="1"/>
      <w:numFmt w:val="lowerLetter"/>
      <w:lvlText w:val="%2)"/>
      <w:lvlJc w:val="left"/>
      <w:pPr>
        <w:ind w:left="1080" w:hanging="360"/>
      </w:pPr>
      <w:rPr>
        <w:dstrike w:val="false"/>
        <w:strike w:val="false"/>
        <w:sz w:val="20"/>
        <w:u w:val="none"/>
        <w:effect w:val="none"/>
        <w:rFonts w:ascii="Cambria" w:hAnsi="Cambria"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5024"/>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0634"/>
    <w:rPr/>
  </w:style>
  <w:style w:type="character" w:styleId="FooterChar" w:customStyle="1">
    <w:name w:val="Footer Char"/>
    <w:basedOn w:val="DefaultParagraphFont"/>
    <w:link w:val="Footer"/>
    <w:uiPriority w:val="99"/>
    <w:qFormat/>
    <w:rsid w:val="00d10634"/>
    <w:rPr/>
  </w:style>
  <w:style w:type="character" w:styleId="InternetLink">
    <w:name w:val="Internet Link"/>
    <w:basedOn w:val="DefaultParagraphFont"/>
    <w:uiPriority w:val="99"/>
    <w:semiHidden/>
    <w:unhideWhenUsed/>
    <w:rsid w:val="008e4933"/>
    <w:rPr>
      <w:color w:val="0000FF" w:themeColor="hyperlink"/>
      <w:u w:val="single"/>
    </w:rPr>
  </w:style>
  <w:style w:type="character" w:styleId="BalloonTextChar" w:customStyle="1">
    <w:name w:val="Balloon Text Char"/>
    <w:basedOn w:val="DefaultParagraphFont"/>
    <w:link w:val="BalloonText"/>
    <w:uiPriority w:val="99"/>
    <w:semiHidden/>
    <w:qFormat/>
    <w:rsid w:val="00476ab4"/>
    <w:rPr>
      <w:rFonts w:ascii="Segoe UI" w:hAnsi="Segoe UI" w:cs="Segoe UI"/>
      <w:sz w:val="18"/>
      <w:szCs w:val="18"/>
    </w:rPr>
  </w:style>
  <w:style w:type="character" w:styleId="FootnoteTextChar" w:customStyle="1">
    <w:name w:val="Footnote Text Char"/>
    <w:basedOn w:val="DefaultParagraphFont"/>
    <w:link w:val="FootnoteText"/>
    <w:qFormat/>
    <w:rsid w:val="006257ae"/>
    <w:rPr>
      <w:rFonts w:cs="Times New Roman"/>
      <w:sz w:val="20"/>
      <w:szCs w:val="20"/>
    </w:rPr>
  </w:style>
  <w:style w:type="character" w:styleId="Footnotereference">
    <w:name w:val="footnote reference"/>
    <w:basedOn w:val="DefaultParagraphFont"/>
    <w:uiPriority w:val="99"/>
    <w:qFormat/>
    <w:rsid w:val="006257ae"/>
    <w:rPr>
      <w:rFonts w:cs="Times New Roman"/>
      <w:vertAlign w:val="superscript"/>
    </w:rPr>
  </w:style>
  <w:style w:type="character" w:styleId="TitleChar" w:customStyle="1">
    <w:name w:val="Title Char"/>
    <w:basedOn w:val="DefaultParagraphFont"/>
    <w:link w:val="Title"/>
    <w:uiPriority w:val="10"/>
    <w:qFormat/>
    <w:rsid w:val="0022649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BookTitle">
    <w:name w:val="Book Title"/>
    <w:basedOn w:val="DefaultParagraphFont"/>
    <w:uiPriority w:val="33"/>
    <w:qFormat/>
    <w:rsid w:val="00226494"/>
    <w:rPr>
      <w:b/>
      <w:bCs/>
      <w:smallCaps/>
      <w:spacing w:val="5"/>
    </w:rPr>
  </w:style>
  <w:style w:type="character" w:styleId="ListLabel1">
    <w:name w:val="ListLabel 1"/>
    <w:qFormat/>
    <w:rPr>
      <w:rFonts w:eastAsia="ＭＳ 明朝" w:cs=""/>
    </w:rPr>
  </w:style>
  <w:style w:type="character" w:styleId="ListLabel2">
    <w:name w:val="ListLabel 2"/>
    <w:qFormat/>
    <w:rPr>
      <w:rFonts w:ascii="Cambria" w:hAnsi="Cambria" w:cs="Times New Roman"/>
      <w:color w:val="00000A"/>
      <w:sz w:val="20"/>
    </w:rPr>
  </w:style>
  <w:style w:type="character" w:styleId="ListLabel3">
    <w:name w:val="ListLabel 3"/>
    <w:qFormat/>
    <w:rPr>
      <w:rFonts w:ascii="Cambria" w:hAnsi="Cambria" w:cs="Times New Roman"/>
      <w:strike w:val="false"/>
      <w:dstrike w:val="false"/>
      <w:sz w:val="20"/>
      <w:u w:val="none"/>
      <w:effect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e5024"/>
    <w:pPr>
      <w:spacing w:before="0" w:after="0"/>
      <w:ind w:left="720" w:hanging="0"/>
      <w:contextualSpacing/>
    </w:pPr>
    <w:rPr/>
  </w:style>
  <w:style w:type="paragraph" w:styleId="Header">
    <w:name w:val="Header"/>
    <w:basedOn w:val="Normal"/>
    <w:link w:val="HeaderChar"/>
    <w:uiPriority w:val="99"/>
    <w:unhideWhenUsed/>
    <w:rsid w:val="00d10634"/>
    <w:pPr>
      <w:tabs>
        <w:tab w:val="center" w:pos="4252" w:leader="none"/>
        <w:tab w:val="right" w:pos="8504" w:leader="none"/>
      </w:tabs>
    </w:pPr>
    <w:rPr/>
  </w:style>
  <w:style w:type="paragraph" w:styleId="Footer">
    <w:name w:val="Footer"/>
    <w:basedOn w:val="Normal"/>
    <w:link w:val="FooterChar"/>
    <w:uiPriority w:val="99"/>
    <w:unhideWhenUsed/>
    <w:rsid w:val="00d10634"/>
    <w:pPr>
      <w:tabs>
        <w:tab w:val="center" w:pos="4252" w:leader="none"/>
        <w:tab w:val="right" w:pos="8504" w:leader="none"/>
      </w:tabs>
    </w:pPr>
    <w:rPr/>
  </w:style>
  <w:style w:type="paragraph" w:styleId="BalloonText">
    <w:name w:val="Balloon Text"/>
    <w:basedOn w:val="Normal"/>
    <w:link w:val="BalloonTextChar"/>
    <w:uiPriority w:val="99"/>
    <w:semiHidden/>
    <w:unhideWhenUsed/>
    <w:qFormat/>
    <w:rsid w:val="00476ab4"/>
    <w:pPr/>
    <w:rPr>
      <w:rFonts w:ascii="Segoe UI" w:hAnsi="Segoe UI" w:cs="Segoe UI"/>
      <w:sz w:val="18"/>
      <w:szCs w:val="18"/>
    </w:rPr>
  </w:style>
  <w:style w:type="paragraph" w:styleId="Default" w:customStyle="1">
    <w:name w:val="Default"/>
    <w:qFormat/>
    <w:rsid w:val="006257ae"/>
    <w:pPr>
      <w:widowControl/>
      <w:bidi w:val="0"/>
      <w:jc w:val="left"/>
    </w:pPr>
    <w:rPr>
      <w:rFonts w:ascii="Cambria" w:hAnsi="Cambria" w:cs="Cambria" w:eastAsia="ＭＳ 明朝"/>
      <w:color w:val="000000"/>
      <w:sz w:val="24"/>
      <w:szCs w:val="24"/>
      <w:lang w:val="en-US" w:eastAsia="en-US" w:bidi="ar-SA"/>
    </w:rPr>
  </w:style>
  <w:style w:type="paragraph" w:styleId="Footnotetext">
    <w:name w:val="footnote text"/>
    <w:basedOn w:val="Normal"/>
    <w:link w:val="FootnoteTextChar"/>
    <w:qFormat/>
    <w:rsid w:val="006257ae"/>
    <w:pPr>
      <w:spacing w:lineRule="auto" w:line="276" w:before="0" w:after="200"/>
    </w:pPr>
    <w:rPr>
      <w:rFonts w:cs="Times New Roman"/>
      <w:sz w:val="20"/>
      <w:szCs w:val="20"/>
    </w:rPr>
  </w:style>
  <w:style w:type="paragraph" w:styleId="Title">
    <w:name w:val="Title"/>
    <w:basedOn w:val="Normal"/>
    <w:next w:val="Normal"/>
    <w:link w:val="TitleChar"/>
    <w:uiPriority w:val="10"/>
    <w:qFormat/>
    <w:rsid w:val="0022649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26494"/>
    <w:rPr>
      <w:rFonts w:eastAsiaTheme="minorHAnsi"/>
      <w:lang w:val="fr-F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226494"/>
    <w:rPr>
      <w:lang w:val="fr-F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ccat.int/Documents/Meetings/Docs/FIWG-Report_ENG.pdf" TargetMode="External"/><Relationship Id="rId3" Type="http://schemas.openxmlformats.org/officeDocument/2006/relationships/hyperlink" Target="https://www.iccat.int/Documents/Meetings/Docs/2013_ALB_ASSESS_REP_ENG.pdf" TargetMode="External"/><Relationship Id="rId4" Type="http://schemas.openxmlformats.org/officeDocument/2006/relationships/hyperlink" Target="https://www.iccat.int/Documents/Meetings/Docs/2013_METHODS_REP_ENG.pdf" TargetMode="External"/><Relationship Id="rId5" Type="http://schemas.openxmlformats.org/officeDocument/2006/relationships/hyperlink" Target="mailto:fabio.hazin@depaq.ufrpe.br" TargetMode="External"/><Relationship Id="rId6" Type="http://schemas.openxmlformats.org/officeDocument/2006/relationships/hyperlink" Target="mailto:fhvhazin@terra.com.br" TargetMode="External"/><Relationship Id="rId7" Type="http://schemas.openxmlformats.org/officeDocument/2006/relationships/hyperlink" Target="mailto:jacinta.berthier@dfo-mpo.gc.ca" TargetMode="External"/><Relationship Id="rId8" Type="http://schemas.openxmlformats.org/officeDocument/2006/relationships/hyperlink" Target="mailto:jeongseok.korea@gmail.com; icdmomaf@chol.com"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ccat.int/Documents/SCRS/Manual/Appendices/Appendix_4_III_BFT_E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CB933-1B4B-4671-A98B-A83AAD9D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17</Pages>
  <Words>6720</Words>
  <CharactersWithSpaces>36965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2016-07-26T03:42:00Z</dcterms:created>
  <dc:creator/>
  <dc:description/>
  <dc:language>en-US</dc:language>
  <cp:lastModifiedBy/>
  <dcterms:modified xsi:type="dcterms:W3CDTF">2016-07-26T05:11:00Z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