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3.jpeg" ContentType="image/jpeg"/>
  <Override PartName="/word/media/image2.wmf" ContentType="image/x-wmf"/>
  <Override PartName="/word/media/image1.wmf" ContentType="image/x-wmf"/>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szCs w:val="24"/>
        </w:rPr>
      </w:pPr>
      <w:r>
        <w:rPr>
          <w:szCs w:val="24"/>
        </w:rPr>
        <w:drawing>
          <wp:anchor allowOverlap="1" behindDoc="0" distB="0" distL="0" distR="0" distT="0" layoutInCell="1" locked="0" relativeHeight="0" simplePos="0">
            <wp:simplePos x="0" y="0"/>
            <wp:positionH relativeFrom="column">
              <wp:posOffset>514985</wp:posOffset>
            </wp:positionH>
            <wp:positionV relativeFrom="page">
              <wp:posOffset>-631825</wp:posOffset>
            </wp:positionV>
            <wp:extent cx="4730115" cy="102298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730115" cy="1022985"/>
                    </a:xfrm>
                    <a:prstGeom prst="rect">
                      <a:avLst/>
                    </a:prstGeom>
                    <a:noFill/>
                    <a:ln w="9525">
                      <a:noFill/>
                      <a:miter lim="800000"/>
                      <a:headEnd/>
                      <a:tailEnd/>
                    </a:ln>
                  </pic:spPr>
                </pic:pic>
              </a:graphicData>
            </a:graphic>
          </wp:anchor>
        </w:drawing>
      </w:r>
      <w:r>
        <w:pict>
          <v:rect strokecolor="#000000" strokeweight="0pt" style="position:absolute;width:2.8pt;height:11.5pt;margin-top:73.85pt;margin-left:230pt">
            <v:textbox inset="0pt,0pt,0pt,0pt">
              <w:txbxContent>
                <w:p>
                  <w:pPr>
                    <w:pStyle w:val="style38"/>
                    <w:rPr>
                      <w:color w:val="000000"/>
                      <w:sz w:val="22"/>
                      <w:szCs w:val="22"/>
                    </w:rPr>
                  </w:pPr>
                  <w:r>
                    <w:rPr>
                      <w:color w:val="000000"/>
                      <w:sz w:val="22"/>
                      <w:szCs w:val="22"/>
                    </w:rPr>
                    <w:t xml:space="preserve"> </w:t>
                  </w:r>
                </w:p>
              </w:txbxContent>
            </v:textbox>
          </v:rect>
        </w:pict>
      </w:r>
    </w:p>
    <w:p>
      <w:pPr>
        <w:pStyle w:val="style0"/>
        <w:rPr>
          <w:szCs w:val="24"/>
        </w:rPr>
      </w:pPr>
      <w:r>
        <w:rPr>
          <w:szCs w:val="24"/>
        </w:rPr>
      </w:r>
    </w:p>
    <w:p>
      <w:pPr>
        <w:pStyle w:val="style0"/>
        <w:rPr>
          <w:szCs w:val="24"/>
        </w:rPr>
      </w:pPr>
      <w:r>
        <w:rPr>
          <w:szCs w:val="24"/>
        </w:rPr>
      </w:r>
    </w:p>
    <w:p>
      <w:pPr>
        <w:pStyle w:val="style0"/>
        <w:jc w:val="right"/>
        <w:rPr>
          <w:sz w:val="22"/>
          <w:szCs w:val="22"/>
        </w:rPr>
      </w:pPr>
      <w:r>
        <w:rPr>
          <w:sz w:val="22"/>
          <w:szCs w:val="22"/>
        </w:rPr>
        <w:t>Madrid – February XX, 2014</w:t>
        <w:pict>
          <v:line from="0.1pt,105.2pt" id="shape_0" style="position:absolute" to="453.3pt,105.2pt">
            <v:stroke color="black" endcap="flat" joinstyle="round"/>
            <v:fill detectmouseclick="t"/>
          </v:line>
        </w:pict>
      </w:r>
    </w:p>
    <w:p>
      <w:pPr>
        <w:pStyle w:val="style0"/>
        <w:ind w:hanging="0" w:left="340" w:right="0"/>
        <w:jc w:val="center"/>
        <w:rPr>
          <w:b/>
          <w:sz w:val="28"/>
          <w:szCs w:val="28"/>
        </w:rPr>
      </w:pPr>
      <w:r>
        <w:rPr>
          <w:b/>
          <w:sz w:val="28"/>
          <w:szCs w:val="28"/>
        </w:rPr>
      </w:r>
    </w:p>
    <w:p>
      <w:pPr>
        <w:pStyle w:val="style0"/>
        <w:ind w:hanging="0" w:left="340" w:right="0"/>
        <w:jc w:val="center"/>
        <w:rPr>
          <w:b/>
          <w:sz w:val="28"/>
          <w:szCs w:val="28"/>
        </w:rPr>
      </w:pPr>
      <w:r>
        <w:rPr>
          <w:b/>
          <w:sz w:val="28"/>
          <w:szCs w:val="28"/>
        </w:rPr>
        <w:t xml:space="preserve">ICCAT CIRCULAR # XXX/14 </w:t>
      </w:r>
    </w:p>
    <w:p>
      <w:pPr>
        <w:pStyle w:val="style0"/>
        <w:rPr>
          <w:b/>
          <w:sz w:val="22"/>
          <w:szCs w:val="22"/>
        </w:rPr>
      </w:pPr>
      <w:r>
        <w:rPr>
          <w:b/>
          <w:sz w:val="22"/>
          <w:szCs w:val="22"/>
        </w:rPr>
        <w:t xml:space="preserve"> </w:t>
        <w:drawing>
          <wp:anchor allowOverlap="1" behindDoc="0" distB="0" distL="0" distR="0" distT="0" layoutInCell="1" locked="0" relativeHeight="1" simplePos="0">
            <wp:simplePos x="0" y="0"/>
            <wp:positionH relativeFrom="column">
              <wp:posOffset>514985</wp:posOffset>
            </wp:positionH>
            <wp:positionV relativeFrom="page">
              <wp:posOffset>-1639570</wp:posOffset>
            </wp:positionV>
            <wp:extent cx="4730115" cy="1022985"/>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730115" cy="1022985"/>
                    </a:xfrm>
                    <a:prstGeom prst="rect">
                      <a:avLst/>
                    </a:prstGeom>
                    <a:noFill/>
                    <a:ln w="9525">
                      <a:noFill/>
                      <a:miter lim="800000"/>
                      <a:headEnd/>
                      <a:tailEnd/>
                    </a:ln>
                  </pic:spPr>
                </pic:pic>
              </a:graphicData>
            </a:graphic>
          </wp:anchor>
        </w:drawing>
      </w:r>
      <w:r>
        <w:pict>
          <v:rect strokecolor="#000000" strokeweight="0pt" style="position:absolute;width:2.8pt;height:11.5pt;margin-top:73.85pt;margin-left:230pt">
            <v:textbox inset="0pt,0pt,0pt,0pt">
              <w:txbxContent>
                <w:p>
                  <w:pPr>
                    <w:pStyle w:val="style38"/>
                    <w:rPr>
                      <w:color w:val="000000"/>
                      <w:sz w:val="22"/>
                      <w:szCs w:val="22"/>
                    </w:rPr>
                  </w:pPr>
                  <w:r>
                    <w:rPr>
                      <w:color w:val="000000"/>
                      <w:sz w:val="22"/>
                      <w:szCs w:val="22"/>
                    </w:rPr>
                    <w:t xml:space="preserve"> </w:t>
                  </w:r>
                </w:p>
              </w:txbxContent>
            </v:textbox>
          </v:rect>
        </w:pict>
      </w:r>
    </w:p>
    <w:p>
      <w:pPr>
        <w:pStyle w:val="style0"/>
        <w:jc w:val="both"/>
        <w:rPr>
          <w:b/>
          <w:sz w:val="22"/>
          <w:szCs w:val="22"/>
        </w:rPr>
      </w:pPr>
      <w:r>
        <w:rPr>
          <w:b/>
          <w:sz w:val="22"/>
          <w:szCs w:val="22"/>
        </w:rPr>
      </w:r>
    </w:p>
    <w:p>
      <w:pPr>
        <w:pStyle w:val="style0"/>
        <w:tabs>
          <w:tab w:leader="none" w:pos="340" w:val="left"/>
          <w:tab w:leader="none" w:pos="680" w:val="left"/>
          <w:tab w:leader="none" w:pos="1020" w:val="left"/>
          <w:tab w:leader="none" w:pos="1134" w:val="left"/>
          <w:tab w:leader="none" w:pos="1760" w:val="left"/>
        </w:tabs>
        <w:spacing w:line="264" w:lineRule="auto"/>
        <w:ind w:hanging="1361" w:left="1361" w:right="3"/>
        <w:rPr>
          <w:b/>
          <w:bCs/>
          <w:i/>
          <w:sz w:val="22"/>
          <w:szCs w:val="22"/>
        </w:rPr>
      </w:pPr>
      <w:r>
        <w:rPr>
          <w:b/>
          <w:bCs/>
          <w:caps/>
          <w:sz w:val="22"/>
          <w:szCs w:val="22"/>
        </w:rPr>
        <w:t>Subject</w:t>
      </w:r>
      <w:r>
        <w:rPr>
          <w:b/>
          <w:bCs/>
          <w:sz w:val="22"/>
          <w:szCs w:val="22"/>
        </w:rPr>
        <w:t xml:space="preserve">: </w:t>
        <w:tab/>
        <w:tab/>
      </w:r>
      <w:r>
        <w:rPr>
          <w:b/>
          <w:bCs/>
          <w:caps/>
          <w:sz w:val="22"/>
          <w:szCs w:val="22"/>
        </w:rPr>
        <w:t>2014 BLUEFIN TUNA DATA-PREPARATORY MEETING</w:t>
      </w:r>
      <w:r>
        <w:rPr>
          <w:b/>
          <w:bCs/>
          <w:i/>
          <w:sz w:val="22"/>
          <w:szCs w:val="22"/>
        </w:rPr>
        <w:t xml:space="preserve"> (Madrid, May 5 to 10, 2014)</w:t>
      </w:r>
    </w:p>
    <w:p>
      <w:pPr>
        <w:pStyle w:val="style0"/>
        <w:spacing w:line="264" w:lineRule="auto"/>
        <w:jc w:val="both"/>
        <w:rPr>
          <w:sz w:val="22"/>
        </w:rPr>
      </w:pPr>
      <w:r>
        <w:rPr>
          <w:sz w:val="22"/>
        </w:rPr>
      </w:r>
    </w:p>
    <w:p>
      <w:pPr>
        <w:pStyle w:val="style0"/>
        <w:spacing w:line="264" w:lineRule="auto"/>
        <w:jc w:val="both"/>
        <w:rPr>
          <w:sz w:val="22"/>
        </w:rPr>
      </w:pPr>
      <w:r>
        <w:rPr>
          <w:sz w:val="22"/>
        </w:rPr>
        <w:t xml:space="preserve">I have the honor to inform you that the Bluefin Data Preparatory Meeting will be held on May 5-10, 2014, at the Secretariat offices in Madrid. The main objective of the meeting will be </w:t>
      </w:r>
      <w:r>
        <w:rPr>
          <w:sz w:val="22"/>
          <w:szCs w:val="22"/>
        </w:rPr>
        <w:t>to review and prepare the data required</w:t>
      </w:r>
      <w:r>
        <w:rPr/>
        <w:t xml:space="preserve"> </w:t>
      </w:r>
      <w:r>
        <w:rPr>
          <w:sz w:val="22"/>
        </w:rPr>
        <w:t xml:space="preserve">to carry out the 2014 update stock assessments and the next full assessment of the West Atlantic and the East Atlantic and Mediterranean stocks.  </w:t>
      </w:r>
    </w:p>
    <w:p>
      <w:pPr>
        <w:pStyle w:val="style0"/>
        <w:spacing w:line="264" w:lineRule="auto"/>
        <w:jc w:val="both"/>
        <w:rPr>
          <w:sz w:val="22"/>
        </w:rPr>
      </w:pPr>
      <w:r>
        <w:rPr>
          <w:sz w:val="22"/>
        </w:rPr>
      </w:r>
    </w:p>
    <w:p>
      <w:pPr>
        <w:pStyle w:val="style0"/>
        <w:spacing w:line="264" w:lineRule="auto"/>
        <w:jc w:val="both"/>
        <w:rPr>
          <w:sz w:val="22"/>
        </w:rPr>
      </w:pPr>
      <w:r>
        <w:rPr>
          <w:sz w:val="22"/>
        </w:rPr>
        <w:t>Attached please find the objectives, the tentative agenda of the meeting and an updated Bluefin Work Plan for 2014 as well as other relevant information about the organization. I would appreciate it very much if you distribute this announcement to scientists who may contribute by participating in the meeting. This announcement will also be published on our web site (</w:t>
      </w:r>
      <w:hyperlink r:id="rId4">
        <w:r>
          <w:rPr>
            <w:rStyle w:val="style16"/>
            <w:sz w:val="22"/>
          </w:rPr>
          <w:t>www.iccat.int</w:t>
        </w:r>
      </w:hyperlink>
      <w:r>
        <w:rPr>
          <w:sz w:val="22"/>
        </w:rPr>
        <w:t>).</w:t>
      </w:r>
    </w:p>
    <w:p>
      <w:pPr>
        <w:pStyle w:val="style0"/>
        <w:spacing w:line="264" w:lineRule="auto"/>
        <w:jc w:val="both"/>
        <w:rPr>
          <w:sz w:val="22"/>
        </w:rPr>
      </w:pPr>
      <w:r>
        <w:rPr>
          <w:sz w:val="22"/>
        </w:rPr>
      </w:r>
    </w:p>
    <w:p>
      <w:pPr>
        <w:pStyle w:val="style0"/>
        <w:spacing w:line="264" w:lineRule="auto"/>
        <w:jc w:val="both"/>
        <w:rPr>
          <w:sz w:val="22"/>
        </w:rPr>
      </w:pPr>
      <w:r>
        <w:rPr>
          <w:sz w:val="22"/>
        </w:rPr>
        <w:t xml:space="preserve">In order to have an estimation of the number of participants in advance of the session I would also appreciate if you could send to the Secretariat a list of delegates who will participate in the meeting by </w:t>
      </w:r>
      <w:r>
        <w:rPr>
          <w:b/>
          <w:sz w:val="22"/>
        </w:rPr>
        <w:t>April 24, 2014</w:t>
      </w:r>
      <w:r>
        <w:rPr>
          <w:sz w:val="22"/>
        </w:rPr>
        <w:t xml:space="preserve">.  It is also very important to note that it is requested to submit the required Task I and Task II catch and effort and size data (up to 2013) to the Secretariat by </w:t>
      </w:r>
      <w:r>
        <w:rPr>
          <w:b/>
          <w:sz w:val="22"/>
        </w:rPr>
        <w:t>May 31</w:t>
      </w:r>
      <w:r>
        <w:rPr>
          <w:b/>
          <w:sz w:val="22"/>
          <w:vertAlign w:val="superscript"/>
        </w:rPr>
        <w:t>th</w:t>
      </w:r>
      <w:r>
        <w:rPr>
          <w:sz w:val="22"/>
        </w:rPr>
        <w:t>, at the latest.</w:t>
      </w:r>
    </w:p>
    <w:p>
      <w:pPr>
        <w:pStyle w:val="style0"/>
        <w:spacing w:line="264" w:lineRule="auto"/>
        <w:jc w:val="both"/>
        <w:rPr>
          <w:sz w:val="22"/>
        </w:rPr>
      </w:pPr>
      <w:r>
        <w:rPr>
          <w:sz w:val="22"/>
        </w:rPr>
      </w:r>
    </w:p>
    <w:p>
      <w:pPr>
        <w:pStyle w:val="style0"/>
        <w:spacing w:line="264" w:lineRule="auto"/>
        <w:jc w:val="both"/>
        <w:rPr>
          <w:sz w:val="22"/>
        </w:rPr>
      </w:pPr>
      <w:r>
        <w:rPr>
          <w:sz w:val="22"/>
        </w:rPr>
        <w:t>Please receive the assurances of my highest consideration.</w:t>
      </w:r>
    </w:p>
    <w:p>
      <w:pPr>
        <w:pStyle w:val="style0"/>
        <w:spacing w:line="264" w:lineRule="auto"/>
        <w:jc w:val="both"/>
        <w:rPr>
          <w:sz w:val="22"/>
        </w:rPr>
      </w:pPr>
      <w:r>
        <w:rPr>
          <w:sz w:val="22"/>
        </w:rPr>
      </w:r>
    </w:p>
    <w:p>
      <w:pPr>
        <w:pStyle w:val="style0"/>
        <w:spacing w:line="264" w:lineRule="auto"/>
        <w:jc w:val="both"/>
        <w:rPr>
          <w:sz w:val="22"/>
        </w:rPr>
      </w:pPr>
      <w:r>
        <w:rPr>
          <w:sz w:val="22"/>
        </w:rPr>
      </w:r>
    </w:p>
    <w:p>
      <w:pPr>
        <w:pStyle w:val="style0"/>
        <w:ind w:hanging="0" w:left="6460" w:right="0"/>
        <w:jc w:val="right"/>
        <w:rPr>
          <w:sz w:val="22"/>
          <w:szCs w:val="22"/>
        </w:rPr>
      </w:pPr>
      <w:r>
        <w:rPr>
          <w:sz w:val="22"/>
          <w:szCs w:val="22"/>
        </w:rPr>
      </w:r>
    </w:p>
    <w:p>
      <w:pPr>
        <w:pStyle w:val="style0"/>
        <w:ind w:hanging="0" w:left="6460" w:right="0"/>
        <w:jc w:val="right"/>
        <w:rPr>
          <w:sz w:val="22"/>
          <w:szCs w:val="22"/>
        </w:rPr>
      </w:pPr>
      <w:r>
        <w:rPr>
          <w:sz w:val="22"/>
          <w:szCs w:val="22"/>
        </w:rPr>
      </w:r>
    </w:p>
    <w:p>
      <w:pPr>
        <w:pStyle w:val="style0"/>
        <w:ind w:hanging="0" w:left="6460" w:right="0"/>
        <w:jc w:val="right"/>
        <w:rPr>
          <w:sz w:val="22"/>
          <w:szCs w:val="22"/>
        </w:rPr>
      </w:pPr>
      <w:r>
        <w:rPr>
          <w:sz w:val="22"/>
          <w:szCs w:val="22"/>
        </w:rPr>
      </w:r>
    </w:p>
    <w:p>
      <w:pPr>
        <w:pStyle w:val="style0"/>
        <w:ind w:hanging="0" w:left="6460" w:right="0"/>
        <w:jc w:val="right"/>
        <w:rPr>
          <w:sz w:val="22"/>
          <w:szCs w:val="22"/>
        </w:rPr>
      </w:pPr>
      <w:r>
        <w:rPr>
          <w:sz w:val="22"/>
          <w:szCs w:val="22"/>
        </w:rPr>
        <w:t>Driss Meski</w:t>
        <w:drawing>
          <wp:anchor allowOverlap="1" behindDoc="0" distB="0" distL="0" distR="0" distT="0" layoutInCell="1" locked="0" relativeHeight="2" simplePos="0">
            <wp:simplePos x="0" y="0"/>
            <wp:positionH relativeFrom="column">
              <wp:posOffset>2166620</wp:posOffset>
            </wp:positionH>
            <wp:positionV relativeFrom="paragraph">
              <wp:posOffset>147320</wp:posOffset>
            </wp:positionV>
            <wp:extent cx="2133600" cy="1091565"/>
            <wp:effectExtent b="0" l="0" r="0" t="0"/>
            <wp:wrapNone/>
            <wp:docPr descr="0-CLEARANCE OF DOCS"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0-CLEARANCE OF DOCS" id="2" name="Picture"/>
                    <pic:cNvPicPr>
                      <a:picLocks noChangeArrowheads="1" noChangeAspect="1"/>
                    </pic:cNvPicPr>
                  </pic:nvPicPr>
                  <pic:blipFill>
                    <a:blip r:embed="rId5"/>
                    <a:srcRect/>
                    <a:stretch>
                      <a:fillRect/>
                    </a:stretch>
                  </pic:blipFill>
                  <pic:spPr bwMode="auto">
                    <a:xfrm>
                      <a:off x="0" y="0"/>
                      <a:ext cx="2133600" cy="1091565"/>
                    </a:xfrm>
                    <a:prstGeom prst="rect">
                      <a:avLst/>
                    </a:prstGeom>
                    <a:noFill/>
                    <a:ln w="9525">
                      <a:noFill/>
                      <a:miter lim="800000"/>
                      <a:headEnd/>
                      <a:tailEnd/>
                    </a:ln>
                  </pic:spPr>
                </pic:pic>
              </a:graphicData>
            </a:graphic>
          </wp:anchor>
        </w:drawing>
      </w:r>
    </w:p>
    <w:p>
      <w:pPr>
        <w:pStyle w:val="style0"/>
        <w:ind w:hanging="0" w:left="6460" w:right="0"/>
        <w:jc w:val="right"/>
        <w:rPr>
          <w:i/>
          <w:sz w:val="22"/>
          <w:szCs w:val="22"/>
        </w:rPr>
      </w:pPr>
      <w:r>
        <w:rPr>
          <w:i/>
          <w:sz w:val="22"/>
          <w:szCs w:val="22"/>
        </w:rPr>
        <w:t>Executive Secretary</w:t>
      </w:r>
    </w:p>
    <w:p>
      <w:pPr>
        <w:pStyle w:val="style0"/>
        <w:widowControl/>
        <w:tabs>
          <w:tab w:leader="none" w:pos="-1440" w:val="left"/>
          <w:tab w:leader="none" w:pos="-720" w:val="left"/>
          <w:tab w:leader="none" w:pos="0" w:val="left"/>
          <w:tab w:leader="none" w:pos="284" w:val="left"/>
          <w:tab w:leader="none" w:pos="720" w:val="left"/>
          <w:tab w:leader="none" w:pos="1418" w:val="left"/>
          <w:tab w:leader="none" w:pos="170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s>
        <w:spacing w:line="200" w:lineRule="exact"/>
        <w:rPr>
          <w:b/>
          <w:bCs/>
          <w:sz w:val="16"/>
          <w:szCs w:val="18"/>
          <w:u w:val="single"/>
          <w:lang w:val="en-GB"/>
        </w:rPr>
      </w:pPr>
      <w:r>
        <w:rPr>
          <w:b/>
          <w:bCs/>
          <w:sz w:val="16"/>
          <w:szCs w:val="18"/>
          <w:u w:val="single"/>
          <w:lang w:val="en-GB"/>
        </w:rPr>
        <w:t>DISTRIBUTION:</w:t>
      </w:r>
    </w:p>
    <w:p>
      <w:pPr>
        <w:sectPr>
          <w:footerReference r:id="rId6" w:type="default"/>
          <w:type w:val="nextPage"/>
          <w:pgSz w:h="16838" w:w="11906"/>
          <w:pgMar w:bottom="1191" w:footer="1134" w:gutter="0" w:header="0" w:left="1418" w:right="1418" w:top="1418"/>
          <w:pgNumType w:fmt="decimal"/>
          <w:formProt w:val="false"/>
          <w:textDirection w:val="lrTb"/>
          <w:docGrid w:charSpace="8192" w:linePitch="360" w:type="default"/>
        </w:sectPr>
        <w:pStyle w:val="style0"/>
        <w:widowControl/>
        <w:suppressAutoHyphens w:val="false"/>
        <w:jc w:val="center"/>
        <w:rPr>
          <w:b/>
          <w:sz w:val="22"/>
          <w:szCs w:val="22"/>
        </w:rPr>
      </w:pPr>
      <w:r>
        <w:rPr>
          <w:b/>
          <w:sz w:val="22"/>
          <w:szCs w:val="22"/>
        </w:rPr>
      </w:r>
    </w:p>
    <w:p>
      <w:pPr>
        <w:sectPr>
          <w:footerReference r:id="rId7" w:type="default"/>
          <w:type w:val="nextPage"/>
          <w:pgSz w:h="16838" w:w="11906"/>
          <w:pgMar w:bottom="1418" w:footer="1134" w:gutter="0" w:header="0" w:left="1418" w:right="1418" w:top="1418"/>
          <w:pgNumType w:fmt="decimal"/>
          <w:formProt w:val="false"/>
          <w:textDirection w:val="lrTb"/>
          <w:docGrid w:charSpace="8192" w:linePitch="360" w:type="default"/>
        </w:sectPr>
        <w:pStyle w:val="style0"/>
        <w:pageBreakBefore/>
        <w:widowControl/>
        <w:jc w:val="center"/>
        <w:rPr>
          <w:b/>
          <w:sz w:val="22"/>
          <w:szCs w:val="22"/>
        </w:rPr>
      </w:pPr>
      <w:r>
        <w:rPr>
          <w:b/>
          <w:sz w:val="22"/>
          <w:szCs w:val="22"/>
        </w:rPr>
        <w:t>2014 BLUEFIN DATA PREPARATORY MEETING</w:t>
      </w:r>
    </w:p>
    <w:p>
      <w:pPr>
        <w:pStyle w:val="style0"/>
        <w:spacing w:line="264" w:lineRule="auto"/>
        <w:jc w:val="center"/>
        <w:rPr>
          <w:b/>
          <w:i/>
          <w:iCs/>
          <w:sz w:val="22"/>
          <w:szCs w:val="22"/>
        </w:rPr>
      </w:pPr>
      <w:r>
        <w:rPr>
          <w:b/>
          <w:sz w:val="22"/>
          <w:szCs w:val="22"/>
        </w:rPr>
        <w:t>(</w:t>
      </w:r>
      <w:r>
        <w:rPr>
          <w:b/>
          <w:i/>
          <w:iCs/>
          <w:sz w:val="22"/>
          <w:szCs w:val="22"/>
        </w:rPr>
        <w:t>Madrid, Spain - May 5 to 10, 2014)</w:t>
      </w:r>
    </w:p>
    <w:p>
      <w:pPr>
        <w:pStyle w:val="style0"/>
        <w:spacing w:line="264" w:lineRule="auto"/>
        <w:jc w:val="center"/>
        <w:rPr>
          <w:i/>
          <w:iCs/>
          <w:sz w:val="22"/>
          <w:szCs w:val="22"/>
        </w:rPr>
      </w:pPr>
      <w:r>
        <w:rPr>
          <w:i/>
          <w:iCs/>
          <w:sz w:val="22"/>
          <w:szCs w:val="22"/>
        </w:rPr>
      </w:r>
    </w:p>
    <w:p>
      <w:pPr>
        <w:pStyle w:val="style0"/>
        <w:spacing w:line="247" w:lineRule="auto"/>
        <w:jc w:val="both"/>
        <w:rPr>
          <w:b/>
          <w:bCs/>
          <w:szCs w:val="22"/>
        </w:rPr>
      </w:pPr>
      <w:r>
        <w:rPr>
          <w:b/>
          <w:bCs/>
          <w:szCs w:val="22"/>
        </w:rPr>
        <w:t>Objectives</w:t>
      </w:r>
    </w:p>
    <w:p>
      <w:pPr>
        <w:pStyle w:val="style0"/>
        <w:jc w:val="both"/>
        <w:rPr>
          <w:szCs w:val="22"/>
        </w:rPr>
      </w:pPr>
      <w:r>
        <w:rPr>
          <w:szCs w:val="22"/>
        </w:rPr>
      </w:r>
    </w:p>
    <w:p>
      <w:pPr>
        <w:pStyle w:val="style0"/>
        <w:jc w:val="both"/>
        <w:rPr>
          <w:szCs w:val="22"/>
        </w:rPr>
      </w:pPr>
      <w:r>
        <w:rPr>
          <w:szCs w:val="22"/>
        </w:rPr>
        <w:t xml:space="preserve">In 2013 the SCRS elaborated a work plan for 2014 which included a data preparatory meeting to incorporate the new catch and effort information in ICCAT databases and continuing working on new modeling platforms and inputs in a view to minimize uncertainties in the 2015 and ongoing assessments. The work plan approved by the SCRS did not include an update of the stock assessment in 2014, as stated by the ICCAT Recommendation [12-03] for the eastern Atlantic and Mediterranean bluefin tuna. This decision was based in the lack of SCRS resources for conducting the update and undertaking the difficult task of preparing the 2015 assessment. </w:t>
      </w:r>
    </w:p>
    <w:p>
      <w:pPr>
        <w:pStyle w:val="style0"/>
        <w:jc w:val="both"/>
        <w:rPr>
          <w:szCs w:val="22"/>
        </w:rPr>
      </w:pPr>
      <w:r>
        <w:rPr>
          <w:szCs w:val="22"/>
        </w:rPr>
      </w:r>
    </w:p>
    <w:p>
      <w:pPr>
        <w:pStyle w:val="style0"/>
        <w:jc w:val="both"/>
        <w:rPr>
          <w:szCs w:val="22"/>
        </w:rPr>
      </w:pPr>
      <w:r>
        <w:rPr>
          <w:szCs w:val="22"/>
        </w:rPr>
        <w:t>Nevertheless, the Commission at its 23</w:t>
      </w:r>
      <w:r>
        <w:rPr>
          <w:szCs w:val="22"/>
          <w:vertAlign w:val="superscript"/>
        </w:rPr>
        <w:t xml:space="preserve">th </w:t>
      </w:r>
      <w:r>
        <w:rPr>
          <w:szCs w:val="22"/>
        </w:rPr>
        <w:t>Regular Meeting requested the SCRS to implement Rec. [12-03], i.e., to update the stock assessment of East Atlantic and Mediterannean bluefin tuna. The following year the Commission also adopted Recommendation 13-09 which states: “In 2014, the SCRS will update the stock assessment for bluefin tuna for the western Atlantic stock”.</w:t>
      </w:r>
    </w:p>
    <w:p>
      <w:pPr>
        <w:pStyle w:val="style0"/>
        <w:jc w:val="both"/>
        <w:rPr>
          <w:szCs w:val="22"/>
        </w:rPr>
      </w:pPr>
      <w:r>
        <w:rPr>
          <w:szCs w:val="22"/>
        </w:rPr>
      </w:r>
    </w:p>
    <w:p>
      <w:pPr>
        <w:pStyle w:val="style0"/>
        <w:jc w:val="both"/>
        <w:rPr>
          <w:szCs w:val="22"/>
        </w:rPr>
      </w:pPr>
      <w:r>
        <w:rPr>
          <w:szCs w:val="22"/>
        </w:rPr>
        <w:t xml:space="preserve">Hence, the work plan developed by the Bluefin tuna species group for 2014 has needed to be modified to include in 2014 an update of both the West and the East Atlantic and Mediterranean stock assessments and the corresponding data preparatory work. The new work plan elaborated by the Bluefin rapporteurs and the SCRS Chair is attached as </w:t>
      </w:r>
      <w:r>
        <w:rPr>
          <w:b/>
          <w:szCs w:val="22"/>
        </w:rPr>
        <w:t>Annex 1</w:t>
      </w:r>
      <w:r>
        <w:rPr>
          <w:szCs w:val="22"/>
        </w:rPr>
        <w:t xml:space="preserve">. </w:t>
      </w:r>
    </w:p>
    <w:p>
      <w:pPr>
        <w:pStyle w:val="style0"/>
        <w:jc w:val="both"/>
        <w:rPr>
          <w:szCs w:val="22"/>
        </w:rPr>
      </w:pPr>
      <w:r>
        <w:rPr>
          <w:szCs w:val="22"/>
        </w:rPr>
      </w:r>
    </w:p>
    <w:p>
      <w:pPr>
        <w:pStyle w:val="style0"/>
        <w:jc w:val="both"/>
        <w:rPr>
          <w:szCs w:val="22"/>
        </w:rPr>
      </w:pPr>
      <w:r>
        <w:rPr>
          <w:szCs w:val="22"/>
        </w:rPr>
        <w:t xml:space="preserve">Following the revised work plan the objectives of this data preparatory meeting are the following: </w:t>
      </w:r>
    </w:p>
    <w:p>
      <w:pPr>
        <w:pStyle w:val="style0"/>
        <w:jc w:val="both"/>
        <w:rPr>
          <w:szCs w:val="22"/>
        </w:rPr>
      </w:pPr>
      <w:r>
        <w:rPr>
          <w:szCs w:val="22"/>
        </w:rPr>
      </w:r>
    </w:p>
    <w:p>
      <w:pPr>
        <w:pStyle w:val="style0"/>
        <w:tabs>
          <w:tab w:leader="none" w:pos="1135" w:val="left"/>
          <w:tab w:leader="none" w:pos="1418" w:val="left"/>
          <w:tab w:leader="none" w:pos="1702" w:val="left"/>
        </w:tabs>
        <w:ind w:hanging="567" w:left="567" w:right="0"/>
        <w:jc w:val="both"/>
        <w:rPr/>
      </w:pPr>
      <w:r>
        <w:rPr>
          <w:szCs w:val="22"/>
        </w:rPr>
        <w:tab/>
      </w:r>
      <w:r>
        <w:rPr/>
        <w:t>1. Update fishery indicators in accordance Rec. [12-03], paragraph. 50</w:t>
      </w:r>
      <w:commentRangeStart w:id="0"/>
      <w:r>
        <w:rPr/>
      </w:r>
      <w:commentRangeEnd w:id="0"/>
      <w:r>
        <w:rPr/>
      </w:r>
      <w:r>
        <w:rPr/>
        <w:commentReference w:id="0"/>
      </w:r>
      <w:r>
        <w:rPr/>
        <w:t xml:space="preserve">. </w:t>
      </w:r>
      <w:commentRangeStart w:id="1"/>
      <w:r>
        <w:rPr/>
      </w:r>
      <w:commentRangeEnd w:id="1"/>
      <w:r>
        <w:rPr/>
      </w:r>
      <w:r>
        <w:rPr/>
        <w:commentReference w:id="1"/>
      </w:r>
    </w:p>
    <w:p>
      <w:pPr>
        <w:pStyle w:val="style0"/>
        <w:tabs>
          <w:tab w:leader="none" w:pos="1135" w:val="left"/>
          <w:tab w:leader="none" w:pos="1418" w:val="left"/>
          <w:tab w:leader="none" w:pos="1702" w:val="left"/>
        </w:tabs>
        <w:ind w:hanging="567" w:left="567" w:right="0"/>
        <w:jc w:val="both"/>
        <w:rPr/>
      </w:pPr>
      <w:r>
        <w:rPr/>
        <w:tab/>
        <w:t xml:space="preserve">2. Revise </w:t>
      </w:r>
      <w:bookmarkStart w:id="0" w:name="_GoBack"/>
      <w:bookmarkEnd w:id="0"/>
      <w:r>
        <w:rPr/>
        <w:t xml:space="preserve">Task II by validating and integrating the catch at size statistics with new information from farms and other sources of information. </w:t>
      </w:r>
    </w:p>
    <w:p>
      <w:pPr>
        <w:pStyle w:val="style0"/>
        <w:tabs>
          <w:tab w:leader="none" w:pos="1135" w:val="left"/>
          <w:tab w:leader="none" w:pos="1418" w:val="left"/>
          <w:tab w:leader="none" w:pos="1702" w:val="left"/>
        </w:tabs>
        <w:ind w:hanging="567" w:left="567" w:right="0"/>
        <w:jc w:val="both"/>
        <w:rPr/>
      </w:pPr>
      <w:r>
        <w:rPr/>
        <w:tab/>
        <w:t xml:space="preserve">3. Update the length-weight relationship for both stocks, i.e. Western and Eastern / Mediterranean stocks. </w:t>
      </w:r>
    </w:p>
    <w:p>
      <w:pPr>
        <w:pStyle w:val="style0"/>
        <w:tabs>
          <w:tab w:leader="none" w:pos="1135" w:val="left"/>
          <w:tab w:leader="none" w:pos="1418" w:val="left"/>
          <w:tab w:leader="none" w:pos="1702" w:val="left"/>
        </w:tabs>
        <w:ind w:hanging="567" w:left="567" w:right="0"/>
        <w:jc w:val="both"/>
        <w:rPr/>
      </w:pPr>
      <w:r>
        <w:rPr/>
        <w:tab/>
        <w:t xml:space="preserve">4. Define the procedure to prepare CAS, CAA, WAA (total and per fleet) using the new length-weight relationship. </w:t>
      </w:r>
    </w:p>
    <w:p>
      <w:pPr>
        <w:pStyle w:val="style0"/>
        <w:tabs>
          <w:tab w:leader="none" w:pos="1134" w:val="left"/>
          <w:tab w:leader="none" w:pos="1418" w:val="left"/>
          <w:tab w:leader="none" w:pos="1702" w:val="left"/>
        </w:tabs>
        <w:ind w:hanging="567" w:left="567" w:right="0"/>
        <w:jc w:val="both"/>
        <w:rPr/>
      </w:pPr>
      <w:r>
        <w:rPr/>
        <w:tab/>
        <w:t>5. Review tagging past and recent data for bluefin tuna.</w:t>
      </w:r>
    </w:p>
    <w:p>
      <w:pPr>
        <w:pStyle w:val="style0"/>
        <w:tabs>
          <w:tab w:leader="none" w:pos="1135" w:val="left"/>
          <w:tab w:leader="none" w:pos="1418" w:val="left"/>
          <w:tab w:leader="none" w:pos="1702" w:val="left"/>
        </w:tabs>
        <w:ind w:hanging="567" w:left="567" w:right="0"/>
        <w:jc w:val="both"/>
        <w:rPr/>
      </w:pPr>
      <w:r>
        <w:rPr/>
        <w:t xml:space="preserve">            </w:t>
      </w:r>
      <w:r>
        <w:rPr/>
        <w:t xml:space="preserve">6. Complete outstanding tasks from the Biological Parameters meeting in Tenerife (age-length relationships, morphometric conversions, natural mortality, reproduction, etc.). </w:t>
      </w:r>
    </w:p>
    <w:p>
      <w:pPr>
        <w:pStyle w:val="style0"/>
        <w:tabs>
          <w:tab w:leader="none" w:pos="1135" w:val="left"/>
          <w:tab w:leader="none" w:pos="1418" w:val="left"/>
          <w:tab w:leader="none" w:pos="1702" w:val="left"/>
        </w:tabs>
        <w:ind w:hanging="567" w:left="567" w:right="0"/>
        <w:jc w:val="both"/>
        <w:rPr/>
      </w:pPr>
      <w:r>
        <w:rPr/>
      </w:r>
    </w:p>
    <w:p>
      <w:pPr>
        <w:pStyle w:val="style0"/>
        <w:spacing w:line="247" w:lineRule="auto"/>
        <w:jc w:val="both"/>
        <w:rPr>
          <w:b/>
          <w:bCs/>
        </w:rPr>
      </w:pPr>
      <w:r>
        <w:rPr>
          <w:b/>
          <w:bCs/>
        </w:rPr>
      </w:r>
    </w:p>
    <w:p>
      <w:pPr>
        <w:pStyle w:val="style0"/>
        <w:tabs>
          <w:tab w:leader="none" w:pos="284" w:val="left"/>
        </w:tabs>
        <w:spacing w:line="247" w:lineRule="auto"/>
        <w:jc w:val="both"/>
        <w:rPr>
          <w:b/>
          <w:bCs/>
        </w:rPr>
      </w:pPr>
      <w:r>
        <w:rPr>
          <w:b/>
          <w:bCs/>
        </w:rPr>
        <w:t>Tentative Agenda</w:t>
      </w:r>
    </w:p>
    <w:p>
      <w:pPr>
        <w:pStyle w:val="style0"/>
        <w:tabs>
          <w:tab w:leader="none" w:pos="284" w:val="left"/>
        </w:tabs>
        <w:jc w:val="both"/>
        <w:rPr/>
      </w:pPr>
      <w:r>
        <w:rPr/>
      </w:r>
    </w:p>
    <w:p>
      <w:pPr>
        <w:pStyle w:val="style0"/>
        <w:tabs>
          <w:tab w:leader="none" w:pos="284" w:val="left"/>
          <w:tab w:leader="none" w:pos="567" w:val="left"/>
          <w:tab w:leader="none" w:pos="851" w:val="left"/>
        </w:tabs>
        <w:spacing w:after="60" w:before="60"/>
        <w:contextualSpacing w:val="false"/>
        <w:rPr/>
      </w:pPr>
      <w:r>
        <w:rPr/>
        <w:t>1.</w:t>
        <w:tab/>
        <w:t>Opening, adoption of the Agenda and meeting arrangements.</w:t>
      </w:r>
    </w:p>
    <w:p>
      <w:pPr>
        <w:pStyle w:val="style0"/>
        <w:tabs>
          <w:tab w:leader="none" w:pos="284" w:val="left"/>
          <w:tab w:leader="none" w:pos="567" w:val="left"/>
          <w:tab w:leader="none" w:pos="851" w:val="left"/>
        </w:tabs>
        <w:spacing w:after="60" w:before="60"/>
        <w:contextualSpacing w:val="false"/>
        <w:rPr/>
      </w:pPr>
      <w:r>
        <w:rPr/>
        <w:t>2.</w:t>
        <w:tab/>
        <w:t>Review of historical and new information on biology</w:t>
      </w:r>
    </w:p>
    <w:p>
      <w:pPr>
        <w:pStyle w:val="style0"/>
        <w:tabs>
          <w:tab w:leader="none" w:pos="284" w:val="left"/>
          <w:tab w:leader="none" w:pos="567" w:val="left"/>
          <w:tab w:leader="none" w:pos="851" w:val="left"/>
        </w:tabs>
        <w:spacing w:after="60" w:before="60"/>
        <w:contextualSpacing w:val="false"/>
        <w:rPr/>
      </w:pPr>
      <w:r>
        <w:rPr/>
        <w:t>3.</w:t>
        <w:tab/>
        <w:t>Review of old and new Task I after the incorporation of new information from GBYP and other sources</w:t>
      </w:r>
    </w:p>
    <w:p>
      <w:pPr>
        <w:pStyle w:val="style0"/>
        <w:tabs>
          <w:tab w:leader="none" w:pos="284" w:val="left"/>
          <w:tab w:leader="none" w:pos="567" w:val="left"/>
          <w:tab w:leader="none" w:pos="851" w:val="left"/>
        </w:tabs>
        <w:spacing w:after="60" w:before="60"/>
        <w:contextualSpacing w:val="false"/>
        <w:rPr/>
      </w:pPr>
      <w:r>
        <w:rPr/>
        <w:t>4.</w:t>
        <w:tab/>
        <w:t xml:space="preserve">Review of old and new Task II catch/effort data after the incorporation of new information from GBYP and other sources </w:t>
      </w:r>
    </w:p>
    <w:p>
      <w:pPr>
        <w:pStyle w:val="style0"/>
        <w:tabs>
          <w:tab w:leader="none" w:pos="284" w:val="left"/>
          <w:tab w:leader="none" w:pos="567" w:val="left"/>
          <w:tab w:leader="none" w:pos="851" w:val="left"/>
        </w:tabs>
        <w:spacing w:after="60" w:before="60"/>
        <w:contextualSpacing w:val="false"/>
        <w:rPr/>
      </w:pPr>
      <w:r>
        <w:rPr/>
        <w:t>5.</w:t>
        <w:tab/>
        <w:t xml:space="preserve">Review of old and new Task II size data </w:t>
      </w:r>
    </w:p>
    <w:p>
      <w:pPr>
        <w:pStyle w:val="style0"/>
        <w:tabs>
          <w:tab w:leader="none" w:pos="284" w:val="left"/>
          <w:tab w:leader="none" w:pos="567" w:val="left"/>
          <w:tab w:leader="none" w:pos="851" w:val="left"/>
        </w:tabs>
        <w:spacing w:after="60" w:before="60"/>
        <w:contextualSpacing w:val="false"/>
        <w:rPr/>
      </w:pPr>
      <w:r>
        <w:rPr/>
        <w:tab/>
        <w:t>5.1 Review of new information from farms and other sources</w:t>
      </w:r>
    </w:p>
    <w:p>
      <w:pPr>
        <w:pStyle w:val="style0"/>
        <w:tabs>
          <w:tab w:leader="none" w:pos="284" w:val="left"/>
          <w:tab w:leader="none" w:pos="567" w:val="left"/>
          <w:tab w:leader="none" w:pos="851" w:val="left"/>
        </w:tabs>
        <w:spacing w:after="60" w:before="60"/>
        <w:contextualSpacing w:val="false"/>
        <w:rPr/>
      </w:pPr>
      <w:r>
        <w:rPr/>
        <w:tab/>
        <w:t>5.2 Validation of the procedure followed to incorporate the information from farms and other sources into the ICCAT data base</w:t>
      </w:r>
    </w:p>
    <w:p>
      <w:pPr>
        <w:pStyle w:val="style0"/>
        <w:tabs>
          <w:tab w:leader="none" w:pos="284" w:val="left"/>
          <w:tab w:leader="none" w:pos="567" w:val="left"/>
          <w:tab w:leader="none" w:pos="851" w:val="left"/>
        </w:tabs>
        <w:spacing w:after="60" w:before="60"/>
        <w:contextualSpacing w:val="false"/>
        <w:rPr/>
      </w:pPr>
      <w:r>
        <w:rPr/>
        <w:t xml:space="preserve">6. </w:t>
        <w:tab/>
        <w:t>Definition of a new procedure to estimate CAS, CAA and WAA using new information validated by the Group</w:t>
      </w:r>
    </w:p>
    <w:p>
      <w:pPr>
        <w:pStyle w:val="style0"/>
        <w:tabs>
          <w:tab w:leader="none" w:pos="284" w:val="left"/>
          <w:tab w:leader="none" w:pos="567" w:val="left"/>
          <w:tab w:leader="none" w:pos="851" w:val="left"/>
        </w:tabs>
        <w:spacing w:after="60" w:before="60"/>
        <w:contextualSpacing w:val="false"/>
        <w:rPr/>
      </w:pPr>
      <w:r>
        <w:rPr/>
        <w:t xml:space="preserve">7.   Review of available indices of relative abundance by fleet </w:t>
      </w:r>
    </w:p>
    <w:p>
      <w:pPr>
        <w:pStyle w:val="style0"/>
        <w:tabs>
          <w:tab w:leader="none" w:pos="284" w:val="left"/>
          <w:tab w:leader="none" w:pos="567" w:val="left"/>
          <w:tab w:leader="none" w:pos="851" w:val="left"/>
        </w:tabs>
        <w:spacing w:after="60" w:before="60"/>
        <w:contextualSpacing w:val="false"/>
        <w:rPr/>
      </w:pPr>
      <w:r>
        <w:rPr/>
        <w:t xml:space="preserve">8.   Definition of data inputs and specifications for the 2014 update assessment and advice framework.  </w:t>
      </w:r>
    </w:p>
    <w:p>
      <w:pPr>
        <w:pStyle w:val="style0"/>
        <w:tabs>
          <w:tab w:leader="none" w:pos="284" w:val="left"/>
          <w:tab w:leader="none" w:pos="567" w:val="left"/>
          <w:tab w:leader="none" w:pos="851" w:val="left"/>
        </w:tabs>
        <w:spacing w:after="60" w:before="0"/>
        <w:contextualSpacing w:val="false"/>
        <w:rPr/>
      </w:pPr>
      <w:r>
        <w:rPr/>
        <w:t>9.</w:t>
        <w:tab/>
        <w:t>Identification of the evaluation team and definition of the revision procedure</w:t>
      </w:r>
    </w:p>
    <w:p>
      <w:pPr>
        <w:pStyle w:val="style0"/>
        <w:tabs>
          <w:tab w:leader="none" w:pos="284" w:val="left"/>
          <w:tab w:leader="none" w:pos="567" w:val="left"/>
          <w:tab w:leader="none" w:pos="851" w:val="left"/>
        </w:tabs>
        <w:spacing w:after="60" w:before="0"/>
        <w:contextualSpacing w:val="false"/>
        <w:rPr/>
      </w:pPr>
      <w:r>
        <w:rPr/>
        <w:t>10. Develop a web app from the R-VPA2-BOX interface</w:t>
      </w:r>
    </w:p>
    <w:p>
      <w:pPr>
        <w:pStyle w:val="style0"/>
        <w:tabs>
          <w:tab w:leader="none" w:pos="284" w:val="left"/>
          <w:tab w:leader="none" w:pos="567" w:val="left"/>
          <w:tab w:leader="none" w:pos="851" w:val="left"/>
        </w:tabs>
        <w:spacing w:after="60" w:before="0"/>
        <w:contextualSpacing w:val="false"/>
        <w:rPr/>
      </w:pPr>
      <w:r>
        <w:rPr/>
        <w:t>11. Responses to the Commission</w:t>
      </w:r>
    </w:p>
    <w:p>
      <w:pPr>
        <w:pStyle w:val="style0"/>
        <w:tabs>
          <w:tab w:leader="none" w:pos="284" w:val="left"/>
          <w:tab w:leader="none" w:pos="567" w:val="left"/>
          <w:tab w:leader="none" w:pos="851" w:val="left"/>
        </w:tabs>
        <w:spacing w:after="60" w:before="0"/>
        <w:contextualSpacing w:val="false"/>
        <w:rPr/>
      </w:pPr>
      <w:r>
        <w:rPr/>
        <w:tab/>
        <w:t>11.1 Develop updated growth tables</w:t>
      </w:r>
    </w:p>
    <w:p>
      <w:pPr>
        <w:pStyle w:val="style0"/>
        <w:tabs>
          <w:tab w:leader="none" w:pos="284" w:val="left"/>
          <w:tab w:leader="none" w:pos="567" w:val="left"/>
          <w:tab w:leader="none" w:pos="851" w:val="left"/>
        </w:tabs>
        <w:spacing w:after="60" w:before="60"/>
        <w:contextualSpacing w:val="false"/>
        <w:rPr/>
      </w:pPr>
      <w:r>
        <w:rPr/>
        <w:t>12.</w:t>
        <w:tab/>
        <w:t>Recommendations</w:t>
      </w:r>
    </w:p>
    <w:p>
      <w:pPr>
        <w:pStyle w:val="style0"/>
        <w:tabs>
          <w:tab w:leader="none" w:pos="284" w:val="left"/>
          <w:tab w:leader="none" w:pos="567" w:val="left"/>
          <w:tab w:leader="none" w:pos="851" w:val="left"/>
        </w:tabs>
        <w:spacing w:after="60" w:before="60"/>
        <w:contextualSpacing w:val="false"/>
        <w:rPr/>
      </w:pPr>
      <w:r>
        <w:rPr/>
        <w:t>13.</w:t>
        <w:tab/>
        <w:t>Other matters</w:t>
      </w:r>
    </w:p>
    <w:p>
      <w:pPr>
        <w:pStyle w:val="style0"/>
        <w:tabs>
          <w:tab w:leader="none" w:pos="284" w:val="left"/>
          <w:tab w:leader="none" w:pos="567" w:val="left"/>
          <w:tab w:leader="none" w:pos="851" w:val="left"/>
        </w:tabs>
        <w:spacing w:after="60" w:before="60"/>
        <w:contextualSpacing w:val="false"/>
        <w:rPr/>
      </w:pPr>
      <w:r>
        <w:rPr/>
        <w:t>14.</w:t>
        <w:tab/>
        <w:t>Adoption of the report and closure</w:t>
      </w:r>
    </w:p>
    <w:p>
      <w:pPr>
        <w:pStyle w:val="style0"/>
        <w:widowControl/>
        <w:tabs>
          <w:tab w:leader="none" w:pos="284" w:val="left"/>
          <w:tab w:leader="none" w:pos="567" w:val="left"/>
          <w:tab w:leader="none" w:pos="851" w:val="left"/>
        </w:tabs>
        <w:spacing w:after="120" w:before="120"/>
        <w:contextualSpacing w:val="false"/>
        <w:jc w:val="both"/>
        <w:rPr>
          <w:szCs w:val="22"/>
        </w:rPr>
      </w:pPr>
      <w:r>
        <w:rPr>
          <w:szCs w:val="22"/>
        </w:rPr>
      </w:r>
    </w:p>
    <w:p>
      <w:pPr>
        <w:pStyle w:val="style0"/>
        <w:keepNext/>
        <w:pageBreakBefore/>
        <w:jc w:val="center"/>
        <w:rPr>
          <w:b/>
          <w:bCs/>
          <w:sz w:val="22"/>
          <w:szCs w:val="22"/>
        </w:rPr>
      </w:pPr>
      <w:r>
        <w:rPr>
          <w:b/>
          <w:bCs/>
          <w:sz w:val="22"/>
          <w:szCs w:val="22"/>
        </w:rPr>
        <w:t>ADDITIONAL INFORMATION FOR PARTICIPANTS</w:t>
      </w:r>
    </w:p>
    <w:p>
      <w:pPr>
        <w:pStyle w:val="style0"/>
        <w:spacing w:line="264" w:lineRule="auto"/>
        <w:jc w:val="center"/>
        <w:rPr>
          <w:sz w:val="22"/>
          <w:szCs w:val="22"/>
        </w:rPr>
      </w:pPr>
      <w:r>
        <w:rPr>
          <w:sz w:val="22"/>
          <w:szCs w:val="22"/>
        </w:rPr>
      </w:r>
    </w:p>
    <w:p>
      <w:pPr>
        <w:pStyle w:val="style0"/>
        <w:spacing w:line="247" w:lineRule="auto"/>
        <w:ind w:hanging="756" w:left="756" w:right="0"/>
        <w:jc w:val="both"/>
        <w:rPr>
          <w:b/>
          <w:bCs/>
          <w:szCs w:val="22"/>
        </w:rPr>
      </w:pPr>
      <w:r>
        <w:rPr>
          <w:b/>
          <w:bCs/>
          <w:szCs w:val="22"/>
        </w:rPr>
        <w:fldChar w:fldCharType="begin"/>
      </w:r>
      <w:r>
        <w:instrText> SEQ ""AutoList1_0"" \*Arabic </w:instrText>
      </w:r>
      <w:r>
        <w:fldChar w:fldCharType="separate"/>
      </w:r>
      <w:r>
        <w:t>1</w:t>
      </w:r>
      <w:r>
        <w:fldChar w:fldCharType="end"/>
      </w:r>
      <w:r>
        <w:rPr>
          <w:b/>
          <w:bCs/>
          <w:szCs w:val="22"/>
        </w:rPr>
        <w:t>. Date and venue</w:t>
      </w:r>
    </w:p>
    <w:p>
      <w:pPr>
        <w:pStyle w:val="style0"/>
        <w:spacing w:line="247" w:lineRule="auto"/>
        <w:jc w:val="both"/>
        <w:rPr>
          <w:szCs w:val="22"/>
        </w:rPr>
      </w:pPr>
      <w:r>
        <w:rPr>
          <w:szCs w:val="22"/>
        </w:rPr>
      </w:r>
    </w:p>
    <w:p>
      <w:pPr>
        <w:pStyle w:val="style0"/>
        <w:spacing w:line="247" w:lineRule="auto"/>
        <w:jc w:val="both"/>
        <w:rPr>
          <w:szCs w:val="22"/>
        </w:rPr>
      </w:pPr>
      <w:r>
        <w:rPr>
          <w:szCs w:val="22"/>
          <w:u w:val="single"/>
        </w:rPr>
        <w:t>May 5 (Monday) to 10 (Saturday), 2014</w:t>
      </w:r>
      <w:r>
        <w:rPr>
          <w:szCs w:val="22"/>
        </w:rPr>
        <w:t xml:space="preserve">. (Registration starts at 09:00 am, May 5). Meeting hours will be approximately from 09:00 to 18:00. </w:t>
      </w:r>
    </w:p>
    <w:p>
      <w:pPr>
        <w:pStyle w:val="style0"/>
        <w:spacing w:line="247" w:lineRule="auto"/>
        <w:jc w:val="both"/>
        <w:rPr>
          <w:szCs w:val="22"/>
        </w:rPr>
      </w:pPr>
      <w:r>
        <w:rPr>
          <w:szCs w:val="22"/>
        </w:rPr>
      </w:r>
    </w:p>
    <w:p>
      <w:pPr>
        <w:pStyle w:val="style0"/>
        <w:spacing w:line="247" w:lineRule="auto"/>
        <w:jc w:val="both"/>
        <w:rPr>
          <w:rStyle w:val="style16"/>
        </w:rPr>
      </w:pPr>
      <w:r>
        <w:rPr>
          <w:szCs w:val="22"/>
        </w:rPr>
        <w:t xml:space="preserve">The meeting will be held at the ICCAT Secretariat: c/Corazón de María 8, Madrid, Spain. For a map with the Secretariat's location and information about Madrid please consult </w:t>
      </w:r>
      <w:hyperlink r:id="rId8">
        <w:r>
          <w:rPr>
            <w:rStyle w:val="style16"/>
          </w:rPr>
          <w:t>http://www.iccat.int/Madrid.htm</w:t>
        </w:r>
      </w:hyperlink>
    </w:p>
    <w:p>
      <w:pPr>
        <w:pStyle w:val="style0"/>
        <w:spacing w:line="247" w:lineRule="auto"/>
        <w:jc w:val="both"/>
        <w:rPr>
          <w:szCs w:val="22"/>
        </w:rPr>
      </w:pPr>
      <w:r>
        <w:rPr>
          <w:szCs w:val="22"/>
        </w:rPr>
      </w:r>
    </w:p>
    <w:p>
      <w:pPr>
        <w:pStyle w:val="style0"/>
        <w:spacing w:line="247" w:lineRule="auto"/>
        <w:ind w:hanging="756" w:left="756" w:right="0"/>
        <w:jc w:val="both"/>
        <w:rPr>
          <w:b/>
          <w:bCs/>
          <w:szCs w:val="22"/>
        </w:rPr>
      </w:pPr>
      <w:r>
        <w:rPr>
          <w:b/>
          <w:bCs/>
          <w:szCs w:val="22"/>
        </w:rPr>
        <w:t>2. Contact information</w:t>
      </w:r>
    </w:p>
    <w:p>
      <w:pPr>
        <w:pStyle w:val="style0"/>
        <w:spacing w:line="247" w:lineRule="auto"/>
        <w:jc w:val="both"/>
        <w:rPr>
          <w:szCs w:val="22"/>
        </w:rPr>
      </w:pPr>
      <w:r>
        <w:rPr>
          <w:szCs w:val="22"/>
        </w:rPr>
      </w:r>
    </w:p>
    <w:p>
      <w:pPr>
        <w:pStyle w:val="style0"/>
        <w:spacing w:line="249" w:lineRule="auto"/>
        <w:ind w:hanging="0" w:left="340" w:right="0"/>
        <w:jc w:val="both"/>
        <w:rPr/>
      </w:pPr>
      <w:commentRangeStart w:id="2"/>
      <w:r>
        <w:rPr/>
      </w:r>
      <w:commentRangeEnd w:id="2"/>
      <w:r>
        <w:rPr/>
      </w:r>
      <w:r>
        <w:rPr/>
        <w:commentReference w:id="2"/>
      </w:r>
    </w:p>
    <w:p>
      <w:pPr>
        <w:pStyle w:val="style0"/>
        <w:spacing w:line="249" w:lineRule="auto"/>
        <w:ind w:firstLine="360" w:left="0" w:right="0"/>
        <w:jc w:val="both"/>
        <w:rPr/>
      </w:pPr>
      <w:r>
        <w:rPr/>
        <w:t>Co-Chair (East): Dr. Sylvain Bonhommeau (sylvain.bonhommeau @ifremer.fr)</w:t>
      </w:r>
    </w:p>
    <w:p>
      <w:pPr>
        <w:pStyle w:val="style0"/>
        <w:spacing w:line="249" w:lineRule="auto"/>
        <w:ind w:hanging="40" w:left="720" w:right="0"/>
        <w:jc w:val="both"/>
        <w:rPr>
          <w:lang w:val="fr-FR"/>
        </w:rPr>
      </w:pPr>
      <w:r>
        <w:rPr>
          <w:lang w:val="fr-FR"/>
        </w:rPr>
        <w:t>IFREMER, Dept. Recherche Halieutique</w:t>
      </w:r>
    </w:p>
    <w:p>
      <w:pPr>
        <w:pStyle w:val="style0"/>
        <w:spacing w:line="249" w:lineRule="auto"/>
        <w:ind w:hanging="40" w:left="720" w:right="0"/>
        <w:jc w:val="both"/>
        <w:rPr>
          <w:lang w:val="fr-FR"/>
        </w:rPr>
      </w:pPr>
      <w:r>
        <w:rPr>
          <w:lang w:val="fr-FR"/>
        </w:rPr>
        <w:t>B.P. 171, Bd. Jean Monnet, 34203 Sète Cedex, France</w:t>
      </w:r>
    </w:p>
    <w:p>
      <w:pPr>
        <w:pStyle w:val="style0"/>
        <w:spacing w:line="249" w:lineRule="auto"/>
        <w:ind w:hanging="40" w:left="720" w:right="0"/>
        <w:jc w:val="both"/>
        <w:rPr/>
      </w:pPr>
      <w:r>
        <w:rPr/>
        <w:t>Tel: +33 4 99 57 32 32, Fax: +33 4 99 57 32 95</w:t>
      </w:r>
    </w:p>
    <w:p>
      <w:pPr>
        <w:pStyle w:val="style0"/>
        <w:spacing w:line="249" w:lineRule="auto"/>
        <w:ind w:firstLine="360" w:left="0" w:right="0"/>
        <w:jc w:val="both"/>
        <w:rPr/>
      </w:pPr>
      <w:r>
        <w:rPr/>
      </w:r>
    </w:p>
    <w:p>
      <w:pPr>
        <w:pStyle w:val="style0"/>
        <w:spacing w:line="249" w:lineRule="auto"/>
        <w:ind w:firstLine="360" w:left="0" w:right="0"/>
        <w:jc w:val="both"/>
        <w:rPr/>
      </w:pPr>
      <w:r>
        <w:rPr/>
        <w:t>Co-Chair (West): Dr. Clarence Porch (clay.porch@noaa.gov)</w:t>
      </w:r>
    </w:p>
    <w:p>
      <w:pPr>
        <w:pStyle w:val="style0"/>
        <w:spacing w:line="249" w:lineRule="auto"/>
        <w:ind w:firstLine="360" w:left="320" w:right="0"/>
        <w:jc w:val="both"/>
        <w:rPr/>
      </w:pPr>
      <w:r>
        <w:rPr/>
        <w:t>NOAA Fisheries Southeast Fisheries Science Center</w:t>
      </w:r>
    </w:p>
    <w:p>
      <w:pPr>
        <w:pStyle w:val="style0"/>
        <w:spacing w:line="249" w:lineRule="auto"/>
        <w:ind w:firstLine="360" w:left="320" w:right="0"/>
        <w:jc w:val="both"/>
        <w:rPr/>
      </w:pPr>
      <w:r>
        <w:rPr/>
        <w:t>75 Virginia Beach Drive, Miami, Florida, USA 33149-1099</w:t>
      </w:r>
    </w:p>
    <w:p>
      <w:pPr>
        <w:pStyle w:val="style0"/>
        <w:spacing w:line="249" w:lineRule="auto"/>
        <w:ind w:firstLine="360" w:left="320" w:right="0"/>
        <w:jc w:val="both"/>
        <w:rPr/>
      </w:pPr>
      <w:r>
        <w:rPr/>
        <w:t>Tel: +1 305 361 4295, Fax: +1 305 361 4219</w:t>
      </w:r>
    </w:p>
    <w:p>
      <w:pPr>
        <w:pStyle w:val="style0"/>
        <w:spacing w:line="249" w:lineRule="auto"/>
        <w:ind w:firstLine="360" w:left="320" w:right="0"/>
        <w:jc w:val="both"/>
        <w:rPr/>
      </w:pPr>
      <w:r>
        <w:rPr/>
      </w:r>
    </w:p>
    <w:p>
      <w:pPr>
        <w:pStyle w:val="style0"/>
        <w:spacing w:line="249" w:lineRule="auto"/>
        <w:jc w:val="both"/>
        <w:rPr/>
      </w:pPr>
      <w:r>
        <w:rPr/>
        <w:tab/>
        <w:t>Secretariat Contact:  Dr. Laurie Kell (</w:t>
      </w:r>
      <w:hyperlink r:id="rId9">
        <w:r>
          <w:rPr>
            <w:rStyle w:val="style16"/>
          </w:rPr>
          <w:t>laurie.kell@iccat.int</w:t>
        </w:r>
      </w:hyperlink>
      <w:r>
        <w:rPr/>
        <w:t>)</w:t>
      </w:r>
    </w:p>
    <w:p>
      <w:pPr>
        <w:pStyle w:val="style0"/>
        <w:spacing w:line="249" w:lineRule="auto"/>
        <w:ind w:firstLine="340" w:left="340" w:right="0"/>
        <w:jc w:val="both"/>
        <w:rPr/>
      </w:pPr>
      <w:r>
        <w:rPr/>
        <w:t>International Commission for the Conservation of Atlantic Tunas</w:t>
      </w:r>
    </w:p>
    <w:p>
      <w:pPr>
        <w:pStyle w:val="style0"/>
        <w:spacing w:line="249" w:lineRule="auto"/>
        <w:ind w:firstLine="340" w:left="340" w:right="0"/>
        <w:jc w:val="both"/>
        <w:rPr>
          <w:lang w:val="es-ES"/>
        </w:rPr>
      </w:pPr>
      <w:r>
        <w:rPr>
          <w:lang w:val="es-ES"/>
        </w:rPr>
        <w:t>c/ Corazón de María 8, 6th floor</w:t>
      </w:r>
    </w:p>
    <w:p>
      <w:pPr>
        <w:pStyle w:val="style0"/>
        <w:spacing w:line="249" w:lineRule="auto"/>
        <w:ind w:firstLine="340" w:left="340" w:right="0"/>
        <w:jc w:val="both"/>
        <w:rPr/>
      </w:pPr>
      <w:r>
        <w:rPr/>
        <w:t>Madrid 28002, Spain.</w:t>
      </w:r>
    </w:p>
    <w:p>
      <w:pPr>
        <w:pStyle w:val="style0"/>
        <w:spacing w:line="249" w:lineRule="auto"/>
        <w:ind w:firstLine="340" w:left="340" w:right="0"/>
        <w:jc w:val="both"/>
        <w:rPr/>
      </w:pPr>
      <w:r>
        <w:rPr/>
        <w:t>Tel:  +34 91 416 5600; Fax:  +34 91 415 2612</w:t>
      </w:r>
    </w:p>
    <w:p>
      <w:pPr>
        <w:pStyle w:val="style0"/>
        <w:spacing w:line="247" w:lineRule="auto"/>
        <w:jc w:val="both"/>
        <w:rPr/>
      </w:pPr>
      <w:r>
        <w:rPr/>
      </w:r>
    </w:p>
    <w:p>
      <w:pPr>
        <w:pStyle w:val="style0"/>
        <w:spacing w:line="247" w:lineRule="auto"/>
        <w:jc w:val="both"/>
        <w:rPr>
          <w:b/>
          <w:bCs/>
          <w:szCs w:val="22"/>
        </w:rPr>
      </w:pPr>
      <w:r>
        <w:rPr>
          <w:b/>
          <w:bCs/>
          <w:szCs w:val="22"/>
        </w:rPr>
        <w:t>3. Language</w:t>
      </w:r>
    </w:p>
    <w:p>
      <w:pPr>
        <w:pStyle w:val="style0"/>
        <w:spacing w:line="247" w:lineRule="auto"/>
        <w:jc w:val="both"/>
        <w:rPr>
          <w:szCs w:val="22"/>
        </w:rPr>
      </w:pPr>
      <w:r>
        <w:rPr>
          <w:szCs w:val="22"/>
        </w:rPr>
      </w:r>
    </w:p>
    <w:p>
      <w:pPr>
        <w:pStyle w:val="style0"/>
        <w:spacing w:line="247" w:lineRule="auto"/>
        <w:jc w:val="both"/>
        <w:rPr>
          <w:szCs w:val="22"/>
        </w:rPr>
      </w:pPr>
      <w:r>
        <w:rPr>
          <w:szCs w:val="22"/>
        </w:rPr>
        <w:t>The working language for the meeting will be English, as no simultaneous translation can be provided. Scientific documents can be written in English, Spanish or French.</w:t>
      </w:r>
    </w:p>
    <w:p>
      <w:pPr>
        <w:pStyle w:val="style0"/>
        <w:spacing w:line="247" w:lineRule="auto"/>
        <w:jc w:val="both"/>
        <w:rPr>
          <w:b/>
          <w:bCs/>
          <w:szCs w:val="22"/>
        </w:rPr>
      </w:pPr>
      <w:r>
        <w:rPr>
          <w:b/>
          <w:bCs/>
          <w:szCs w:val="22"/>
        </w:rPr>
      </w:r>
    </w:p>
    <w:p>
      <w:pPr>
        <w:pStyle w:val="style0"/>
        <w:spacing w:line="247" w:lineRule="auto"/>
        <w:jc w:val="both"/>
        <w:rPr>
          <w:b/>
          <w:bCs/>
        </w:rPr>
      </w:pPr>
      <w:r>
        <w:rPr>
          <w:b/>
          <w:bCs/>
        </w:rPr>
        <w:t xml:space="preserve">4. Call for scientific papers </w:t>
      </w:r>
    </w:p>
    <w:p>
      <w:pPr>
        <w:pStyle w:val="style0"/>
        <w:jc w:val="both"/>
        <w:rPr/>
      </w:pPr>
      <w:r>
        <w:rPr/>
      </w:r>
    </w:p>
    <w:p>
      <w:pPr>
        <w:pStyle w:val="style0"/>
        <w:jc w:val="both"/>
        <w:rPr/>
      </w:pPr>
      <w:r>
        <w:rPr/>
        <w:t>Participants are encouraged to submit relevant scientific papers. The titles, names of authors and abstracts of papers should be submitted to ICCAT (</w:t>
      </w:r>
      <w:hyperlink r:id="rId10">
        <w:r>
          <w:rPr>
            <w:rStyle w:val="style16"/>
          </w:rPr>
          <w:t>info@iccat.int</w:t>
        </w:r>
      </w:hyperlink>
      <w:r>
        <w:rPr/>
        <w:t xml:space="preserve">) by </w:t>
      </w:r>
      <w:r>
        <w:rPr>
          <w:b/>
          <w:bCs/>
        </w:rPr>
        <w:t>April 28, 2014.</w:t>
      </w:r>
      <w:r>
        <w:rPr/>
        <w:t xml:space="preserve"> </w:t>
      </w:r>
      <w:r>
        <w:rPr>
          <w:u w:val="single"/>
        </w:rPr>
        <w:t xml:space="preserve">Authors are requested to bring electronic versions of their papers </w:t>
      </w:r>
      <w:r>
        <w:rPr/>
        <w:t>and make them available at the start of the meeting. Authors are also encouraged to submit these electronic versions before the meeting in order to make them available on the Internet. Authors are reminded to closely follow the Guidelines for Authors of Scientific Documents for the ICCAT SCRS and Collective Volume series (http://www.iccat.int/Documents/SCRS/Other/ Guide_ColVol_ENG_2009.pdf). Furthermore, the original documents (text, tables and figures) should be prepared in WORD or compatible software.</w:t>
      </w:r>
    </w:p>
    <w:p>
      <w:pPr>
        <w:pStyle w:val="style0"/>
        <w:jc w:val="both"/>
        <w:rPr/>
      </w:pPr>
      <w:r>
        <w:rPr/>
      </w:r>
    </w:p>
    <w:p>
      <w:pPr>
        <w:pStyle w:val="style0"/>
        <w:jc w:val="both"/>
        <w:rPr/>
      </w:pPr>
      <w:r>
        <w:rPr/>
        <w:t xml:space="preserve">Since the Working Group on Stock Assessment Methods (WGSAM), at its 2012 meeting, established standard criteria to evaluate standardized catch rates, it is recommended that authors of documents on standardized CPUEs follow the instructions defined by the WGSAM describing the information required to facilitate the appropriate construction and evaluation of CPUE series. Instructions are included as </w:t>
      </w:r>
      <w:r>
        <w:rPr>
          <w:b/>
        </w:rPr>
        <w:t>Annex 2</w:t>
      </w:r>
      <w:r>
        <w:rPr/>
        <w:t xml:space="preserve"> to this announcement. </w:t>
      </w:r>
    </w:p>
    <w:p>
      <w:pPr>
        <w:pStyle w:val="style0"/>
        <w:spacing w:line="247" w:lineRule="auto"/>
        <w:jc w:val="both"/>
        <w:rPr/>
      </w:pPr>
      <w:r>
        <w:rPr/>
      </w:r>
    </w:p>
    <w:p>
      <w:pPr>
        <w:pStyle w:val="style0"/>
        <w:spacing w:line="247" w:lineRule="auto"/>
        <w:jc w:val="both"/>
        <w:rPr>
          <w:b/>
          <w:bCs/>
        </w:rPr>
      </w:pPr>
      <w:r>
        <w:rPr>
          <w:b/>
          <w:bCs/>
        </w:rPr>
        <w:t xml:space="preserve">5. Provision of data </w:t>
      </w:r>
    </w:p>
    <w:p>
      <w:pPr>
        <w:pStyle w:val="style0"/>
        <w:jc w:val="both"/>
        <w:rPr/>
      </w:pPr>
      <w:r>
        <w:rPr/>
      </w:r>
    </w:p>
    <w:p>
      <w:pPr>
        <w:pStyle w:val="style0"/>
        <w:jc w:val="both"/>
        <w:rPr/>
      </w:pPr>
      <w:r>
        <w:rPr/>
        <w:t>The Commission at its 2013 meeting recognized the need for complete and accurate Task I and Task II data for 2013 from the main fisheries catching bluefin and requested CPCs to make an effort to revise the available information and submit it to ICCAT, following the ICCAT standards.</w:t>
      </w:r>
    </w:p>
    <w:p>
      <w:pPr>
        <w:pStyle w:val="style0"/>
        <w:jc w:val="both"/>
        <w:rPr/>
      </w:pPr>
      <w:r>
        <w:rPr/>
      </w:r>
    </w:p>
    <w:p>
      <w:pPr>
        <w:pStyle w:val="style0"/>
        <w:jc w:val="both"/>
        <w:rPr/>
      </w:pPr>
      <w:r>
        <w:rPr/>
        <w:t xml:space="preserve">Parties should submit relevant information such as Task I and Task II catch/effort and size by </w:t>
      </w:r>
      <w:r>
        <w:rPr>
          <w:b/>
        </w:rPr>
        <w:t>May 31</w:t>
      </w:r>
      <w:r>
        <w:rPr/>
        <w:t xml:space="preserve"> and index of abundance information through at least 2012, </w:t>
      </w:r>
      <w:r>
        <w:rPr>
          <w:b/>
        </w:rPr>
        <w:t>two weeks</w:t>
      </w:r>
      <w:r>
        <w:rPr/>
        <w:t xml:space="preserve"> before the 2014 data preparatory meeting. </w:t>
      </w:r>
    </w:p>
    <w:p>
      <w:pPr>
        <w:pStyle w:val="style0"/>
        <w:jc w:val="both"/>
        <w:rPr/>
      </w:pPr>
      <w:r>
        <w:rPr/>
      </w:r>
    </w:p>
    <w:p>
      <w:pPr>
        <w:pStyle w:val="style0"/>
        <w:jc w:val="both"/>
        <w:rPr/>
      </w:pPr>
      <w:r>
        <w:rPr>
          <w:b/>
        </w:rPr>
        <w:t>6</w:t>
      </w:r>
      <w:r>
        <w:rPr/>
        <w:t xml:space="preserve">. </w:t>
      </w:r>
      <w:r>
        <w:rPr>
          <w:b/>
        </w:rPr>
        <w:t>Funding</w:t>
      </w:r>
      <w:r>
        <w:rPr/>
        <w:t xml:space="preserve"> </w:t>
      </w:r>
    </w:p>
    <w:p>
      <w:pPr>
        <w:pStyle w:val="style0"/>
        <w:jc w:val="both"/>
        <w:rPr/>
      </w:pPr>
      <w:r>
        <w:rPr/>
      </w:r>
    </w:p>
    <w:p>
      <w:pPr>
        <w:pStyle w:val="style0"/>
        <w:jc w:val="both"/>
        <w:rPr/>
      </w:pPr>
      <w:r>
        <w:rPr/>
        <w:t xml:space="preserve">Funding is available to cover travel and subsistence expenses for a limited number of national scientists from developing coastal States who can provide information relevant to the meeting objectives, particularly in reference to provision of data on biology and CPUE series (Agenda items 2 and 7). Applications should be sent by </w:t>
      </w:r>
      <w:r>
        <w:rPr>
          <w:b/>
        </w:rPr>
        <w:t xml:space="preserve">April 21 </w:t>
      </w:r>
      <w:r>
        <w:rPr/>
        <w:t>to the ICCAT Secretariat (</w:t>
      </w:r>
      <w:hyperlink r:id="rId11">
        <w:r>
          <w:rPr>
            <w:rStyle w:val="style16"/>
          </w:rPr>
          <w:t>info@iccat.int</w:t>
        </w:r>
      </w:hyperlink>
      <w:r>
        <w:rPr/>
        <w:t xml:space="preserve">) including an explanation of the expected contribution to the meeting and how it relates to the meeting objectives. If a visa is required to enter Spain, applications should be sent by </w:t>
      </w:r>
      <w:r>
        <w:rPr>
          <w:b/>
        </w:rPr>
        <w:t>April 7</w:t>
      </w:r>
      <w:r>
        <w:rPr/>
        <w:t xml:space="preserve">. Successful applicants will be notified by </w:t>
      </w:r>
      <w:r>
        <w:rPr>
          <w:b/>
        </w:rPr>
        <w:t>April 28</w:t>
      </w:r>
      <w:r>
        <w:rPr/>
        <w:t>.</w:t>
      </w:r>
    </w:p>
    <w:p>
      <w:pPr>
        <w:pStyle w:val="style0"/>
        <w:spacing w:line="247" w:lineRule="auto"/>
        <w:jc w:val="both"/>
        <w:rPr>
          <w:b/>
        </w:rPr>
      </w:pPr>
      <w:r>
        <w:rPr>
          <w:b/>
        </w:rPr>
      </w:r>
    </w:p>
    <w:p>
      <w:pPr>
        <w:pStyle w:val="style0"/>
        <w:spacing w:line="247" w:lineRule="auto"/>
        <w:jc w:val="both"/>
        <w:rPr>
          <w:b/>
        </w:rPr>
      </w:pPr>
      <w:r>
        <w:rPr>
          <w:b/>
        </w:rPr>
        <w:t>7. Hotel information</w:t>
      </w:r>
    </w:p>
    <w:p>
      <w:pPr>
        <w:pStyle w:val="style0"/>
        <w:spacing w:line="247" w:lineRule="auto"/>
        <w:jc w:val="both"/>
        <w:rPr/>
      </w:pPr>
      <w:r>
        <w:rPr/>
      </w:r>
    </w:p>
    <w:p>
      <w:pPr>
        <w:pStyle w:val="style0"/>
        <w:spacing w:line="247" w:lineRule="auto"/>
        <w:jc w:val="both"/>
        <w:rPr/>
      </w:pPr>
      <w:r>
        <w:rPr/>
        <w:t>The following table shows some hotels located within walking distance of the Secretariat.  The room rates shown are indicative and are not guaranteed. Participants are asked to make their own reservations.</w:t>
      </w:r>
    </w:p>
    <w:p>
      <w:pPr>
        <w:pStyle w:val="style0"/>
        <w:spacing w:line="247" w:lineRule="auto"/>
        <w:jc w:val="both"/>
        <w:rPr/>
      </w:pPr>
      <w:r>
        <w:rPr/>
      </w:r>
    </w:p>
    <w:p>
      <w:pPr>
        <w:pStyle w:val="style0"/>
        <w:spacing w:line="247" w:lineRule="auto"/>
        <w:jc w:val="both"/>
        <w:rPr/>
      </w:pPr>
      <w:r>
        <w:rPr/>
      </w:r>
    </w:p>
    <w:tbl>
      <w:tblPr>
        <w:jc w:val="left"/>
        <w:tblInd w:type="dxa" w:w="109"/>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5669"/>
        <w:gridCol w:w="3402"/>
      </w:tblGrid>
      <w:tr>
        <w:trPr>
          <w:cantSplit w:val="false"/>
        </w:trPr>
        <w:tc>
          <w:tcPr>
            <w:tcW w:type="dxa" w:w="5669"/>
            <w:tcBorders>
              <w:top w:color="000001" w:space="0" w:sz="4" w:val="single"/>
              <w:left w:color="000001" w:space="0" w:sz="4" w:val="single"/>
              <w:bottom w:color="000001" w:space="0" w:sz="4" w:val="single"/>
              <w:right w:val="nil"/>
            </w:tcBorders>
            <w:shd w:fill="FFFFFF" w:val="clear"/>
            <w:tcMar>
              <w:left w:type="dxa" w:w="103"/>
            </w:tcMar>
          </w:tcPr>
          <w:p>
            <w:pPr>
              <w:pStyle w:val="style0"/>
              <w:spacing w:line="247" w:lineRule="auto"/>
              <w:jc w:val="both"/>
              <w:rPr>
                <w:b/>
                <w:bCs/>
                <w:lang w:val="fr-FR"/>
              </w:rPr>
            </w:pPr>
            <w:r>
              <w:rPr>
                <w:b/>
                <w:bCs/>
                <w:lang w:val="fr-FR"/>
              </w:rPr>
              <w:t>Hôtel</w:t>
            </w:r>
          </w:p>
        </w:tc>
        <w:tc>
          <w:tcPr>
            <w:tcW w:type="dxa" w:w="340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line="247" w:lineRule="auto"/>
              <w:rPr>
                <w:b/>
                <w:bCs/>
                <w:lang w:val="fr-FR"/>
              </w:rPr>
            </w:pPr>
            <w:r>
              <w:rPr>
                <w:b/>
                <w:bCs/>
                <w:lang w:val="fr-FR"/>
              </w:rPr>
              <w:t>Single use (</w:t>
            </w:r>
            <w:r>
              <w:rPr>
                <w:lang w:val="fr-FR"/>
              </w:rPr>
              <w:t>€</w:t>
            </w:r>
            <w:r>
              <w:rPr>
                <w:b/>
                <w:bCs/>
                <w:lang w:val="fr-FR"/>
              </w:rPr>
              <w:t>)</w:t>
            </w:r>
          </w:p>
        </w:tc>
      </w:tr>
      <w:tr>
        <w:trPr>
          <w:cantSplit w:val="false"/>
        </w:trPr>
        <w:tc>
          <w:tcPr>
            <w:tcW w:type="dxa" w:w="566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120"/>
              <w:contextualSpacing w:val="false"/>
              <w:jc w:val="both"/>
              <w:rPr>
                <w:lang w:val="es-ES"/>
              </w:rPr>
            </w:pPr>
            <w:r>
              <w:rPr>
                <w:lang w:val="es-ES"/>
              </w:rPr>
              <w:t>ABBA Madrid Hotel</w:t>
            </w:r>
          </w:p>
          <w:p>
            <w:pPr>
              <w:pStyle w:val="style0"/>
              <w:jc w:val="both"/>
              <w:rPr>
                <w:lang w:val="es-ES"/>
              </w:rPr>
            </w:pPr>
            <w:r>
              <w:rPr>
                <w:lang w:val="es-ES"/>
              </w:rPr>
              <w:t>Avda. América, 32</w:t>
            </w:r>
          </w:p>
          <w:p>
            <w:pPr>
              <w:pStyle w:val="style0"/>
              <w:jc w:val="both"/>
              <w:rPr>
                <w:lang w:val="en-GB"/>
              </w:rPr>
            </w:pPr>
            <w:r>
              <w:rPr>
                <w:lang w:val="en-GB"/>
              </w:rPr>
              <w:t>28028 Madrid, Spain</w:t>
            </w:r>
          </w:p>
          <w:p>
            <w:pPr>
              <w:pStyle w:val="style0"/>
              <w:jc w:val="both"/>
              <w:rPr>
                <w:lang w:val="en-GB"/>
              </w:rPr>
            </w:pPr>
            <w:r>
              <w:rPr>
                <w:lang w:val="en-GB"/>
              </w:rPr>
              <w:t>Tel +34 91 212 5000; Fax +34 91 212 5001</w:t>
            </w:r>
          </w:p>
          <w:p>
            <w:pPr>
              <w:pStyle w:val="style0"/>
              <w:spacing w:after="120" w:before="0"/>
              <w:contextualSpacing w:val="false"/>
              <w:jc w:val="both"/>
              <w:rPr>
                <w:rStyle w:val="style16"/>
              </w:rPr>
            </w:pPr>
            <w:hyperlink r:id="rId12">
              <w:r>
                <w:rPr>
                  <w:rStyle w:val="style16"/>
                </w:rPr>
                <w:t>http://www.abbahoteles.com</w:t>
              </w:r>
            </w:hyperlink>
          </w:p>
        </w:tc>
        <w:tc>
          <w:tcPr>
            <w:tcW w:type="dxa" w:w="340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120"/>
              <w:contextualSpacing w:val="false"/>
              <w:jc w:val="both"/>
              <w:rPr/>
            </w:pPr>
            <w:r>
              <w:rPr/>
              <w:t xml:space="preserve">Double room single use: 95€ </w:t>
            </w:r>
          </w:p>
          <w:p>
            <w:pPr>
              <w:pStyle w:val="style0"/>
              <w:jc w:val="both"/>
              <w:rPr/>
            </w:pPr>
            <w:r>
              <w:rPr/>
              <w:t xml:space="preserve">Double room: 105€ </w:t>
            </w:r>
          </w:p>
          <w:p>
            <w:pPr>
              <w:pStyle w:val="style0"/>
              <w:jc w:val="both"/>
              <w:rPr/>
            </w:pPr>
            <w:r>
              <w:rPr/>
              <w:t xml:space="preserve">Breakfast included </w:t>
            </w:r>
          </w:p>
          <w:p>
            <w:pPr>
              <w:pStyle w:val="style0"/>
              <w:jc w:val="both"/>
              <w:rPr/>
            </w:pPr>
            <w:r>
              <w:rPr/>
              <w:t>(10% VAT included)</w:t>
              <w:tab/>
            </w:r>
          </w:p>
        </w:tc>
      </w:tr>
      <w:tr>
        <w:trPr>
          <w:cantSplit w:val="false"/>
        </w:trPr>
        <w:tc>
          <w:tcPr>
            <w:tcW w:type="dxa" w:w="566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120"/>
              <w:contextualSpacing w:val="false"/>
              <w:jc w:val="both"/>
              <w:rPr>
                <w:lang w:val="es-ES"/>
              </w:rPr>
            </w:pPr>
            <w:r>
              <w:rPr>
                <w:lang w:val="es-ES"/>
              </w:rPr>
              <w:t>AC Avenida de América</w:t>
            </w:r>
          </w:p>
          <w:p>
            <w:pPr>
              <w:pStyle w:val="style0"/>
              <w:jc w:val="both"/>
              <w:rPr>
                <w:lang w:val="es-ES"/>
              </w:rPr>
            </w:pPr>
            <w:r>
              <w:rPr>
                <w:lang w:val="es-ES"/>
              </w:rPr>
              <w:t>C/ Cartagena, 83</w:t>
            </w:r>
          </w:p>
          <w:p>
            <w:pPr>
              <w:pStyle w:val="style0"/>
              <w:jc w:val="both"/>
              <w:rPr>
                <w:lang w:val="en-GB"/>
              </w:rPr>
            </w:pPr>
            <w:r>
              <w:rPr>
                <w:lang w:val="en-GB"/>
              </w:rPr>
              <w:t>28028 Madrid, Spain</w:t>
            </w:r>
          </w:p>
          <w:p>
            <w:pPr>
              <w:pStyle w:val="style0"/>
              <w:jc w:val="both"/>
              <w:rPr>
                <w:lang w:val="en-GB"/>
              </w:rPr>
            </w:pPr>
            <w:r>
              <w:rPr>
                <w:lang w:val="en-GB"/>
              </w:rPr>
              <w:t>Tel +34 91 724 4240; Fax +34 91 724 4241</w:t>
            </w:r>
          </w:p>
          <w:p>
            <w:pPr>
              <w:pStyle w:val="style0"/>
              <w:jc w:val="both"/>
              <w:rPr>
                <w:lang w:val="en-GB"/>
              </w:rPr>
            </w:pPr>
            <w:r>
              <w:rPr>
                <w:lang w:val="en-GB"/>
              </w:rPr>
              <w:t>reservas.acamerica@ac-hotels.com</w:t>
            </w:r>
          </w:p>
          <w:p>
            <w:pPr>
              <w:pStyle w:val="style0"/>
              <w:spacing w:after="120" w:before="0"/>
              <w:contextualSpacing w:val="false"/>
              <w:jc w:val="both"/>
              <w:rPr>
                <w:rStyle w:val="style16"/>
              </w:rPr>
            </w:pPr>
            <w:hyperlink r:id="rId13">
              <w:r>
                <w:rPr>
                  <w:rStyle w:val="style16"/>
                </w:rPr>
                <w:t>http://www.ac-hotels.com/</w:t>
              </w:r>
            </w:hyperlink>
          </w:p>
        </w:tc>
        <w:tc>
          <w:tcPr>
            <w:tcW w:type="dxa" w:w="340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120"/>
              <w:contextualSpacing w:val="false"/>
              <w:jc w:val="both"/>
              <w:rPr/>
            </w:pPr>
            <w:r>
              <w:rPr/>
              <w:t>Single room 120€ (+10% VAT)</w:t>
            </w:r>
          </w:p>
          <w:p>
            <w:pPr>
              <w:pStyle w:val="style0"/>
              <w:jc w:val="both"/>
              <w:rPr/>
            </w:pPr>
            <w:r>
              <w:rPr/>
              <w:t>Breakfast not included</w:t>
            </w:r>
          </w:p>
          <w:p>
            <w:pPr>
              <w:pStyle w:val="style0"/>
              <w:jc w:val="both"/>
              <w:rPr/>
            </w:pPr>
            <w:r>
              <w:rPr/>
            </w:r>
          </w:p>
        </w:tc>
      </w:tr>
      <w:tr>
        <w:trPr>
          <w:cantSplit w:val="false"/>
        </w:trPr>
        <w:tc>
          <w:tcPr>
            <w:tcW w:type="dxa" w:w="566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120"/>
              <w:contextualSpacing w:val="false"/>
              <w:jc w:val="both"/>
              <w:rPr>
                <w:lang w:val="es-ES"/>
              </w:rPr>
            </w:pPr>
            <w:r>
              <w:rPr>
                <w:lang w:val="es-ES"/>
              </w:rPr>
              <w:t>Apartamentos Togumar</w:t>
            </w:r>
          </w:p>
          <w:p>
            <w:pPr>
              <w:pStyle w:val="style0"/>
              <w:jc w:val="both"/>
              <w:rPr>
                <w:lang w:val="es-ES"/>
              </w:rPr>
            </w:pPr>
            <w:r>
              <w:rPr>
                <w:lang w:val="es-ES"/>
              </w:rPr>
              <w:t>C/ Canillas, 59</w:t>
            </w:r>
          </w:p>
          <w:p>
            <w:pPr>
              <w:pStyle w:val="style0"/>
              <w:jc w:val="both"/>
              <w:rPr>
                <w:lang w:val="es-ES"/>
              </w:rPr>
            </w:pPr>
            <w:r>
              <w:rPr>
                <w:lang w:val="es-ES"/>
              </w:rPr>
              <w:t>28002 Madrid, Spain</w:t>
            </w:r>
          </w:p>
          <w:p>
            <w:pPr>
              <w:pStyle w:val="style0"/>
              <w:spacing w:after="120" w:before="0"/>
              <w:contextualSpacing w:val="false"/>
              <w:jc w:val="both"/>
              <w:rPr>
                <w:lang w:val="fr-FR"/>
              </w:rPr>
            </w:pPr>
            <w:r>
              <w:rPr>
                <w:lang w:val="fr-FR"/>
              </w:rPr>
              <w:t>Tel. + 34 91 519 00 51; Fax +34 91 519 48 45</w:t>
            </w:r>
          </w:p>
        </w:tc>
        <w:tc>
          <w:tcPr>
            <w:tcW w:type="dxa" w:w="340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120"/>
              <w:contextualSpacing w:val="false"/>
              <w:jc w:val="both"/>
              <w:rPr/>
            </w:pPr>
            <w:r>
              <w:rPr/>
              <w:t xml:space="preserve">Double room : 75€ </w:t>
            </w:r>
          </w:p>
          <w:p>
            <w:pPr>
              <w:pStyle w:val="style0"/>
              <w:jc w:val="both"/>
              <w:rPr/>
            </w:pPr>
            <w:r>
              <w:rPr/>
              <w:t>DUI room : 65€</w:t>
            </w:r>
          </w:p>
          <w:p>
            <w:pPr>
              <w:pStyle w:val="style0"/>
              <w:jc w:val="both"/>
              <w:rPr/>
            </w:pPr>
            <w:r>
              <w:rPr/>
              <w:t>(10% VAT included)</w:t>
            </w:r>
          </w:p>
          <w:p>
            <w:pPr>
              <w:pStyle w:val="style0"/>
              <w:jc w:val="both"/>
              <w:rPr>
                <w:lang w:val="fr-FR"/>
              </w:rPr>
            </w:pPr>
            <w:r>
              <w:rPr>
                <w:lang w:val="fr-FR"/>
              </w:rPr>
              <w:t>Breakfast included</w:t>
            </w:r>
          </w:p>
        </w:tc>
      </w:tr>
      <w:tr>
        <w:trPr>
          <w:cantSplit w:val="false"/>
        </w:trPr>
        <w:tc>
          <w:tcPr>
            <w:tcW w:type="dxa" w:w="566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120"/>
              <w:contextualSpacing w:val="false"/>
              <w:jc w:val="both"/>
              <w:rPr>
                <w:lang w:val="es-ES"/>
              </w:rPr>
            </w:pPr>
            <w:r>
              <w:rPr>
                <w:lang w:val="es-ES"/>
              </w:rPr>
              <w:t>Silken Puerta de América Hotel</w:t>
            </w:r>
          </w:p>
          <w:p>
            <w:pPr>
              <w:pStyle w:val="style0"/>
              <w:jc w:val="both"/>
              <w:rPr>
                <w:lang w:val="es-ES"/>
              </w:rPr>
            </w:pPr>
            <w:r>
              <w:rPr>
                <w:lang w:val="es-ES"/>
              </w:rPr>
              <w:t>Avda. América, 41</w:t>
            </w:r>
          </w:p>
          <w:p>
            <w:pPr>
              <w:pStyle w:val="style0"/>
              <w:jc w:val="both"/>
              <w:rPr>
                <w:lang w:val="es-ES"/>
              </w:rPr>
            </w:pPr>
            <w:r>
              <w:rPr>
                <w:lang w:val="es-ES"/>
              </w:rPr>
              <w:t>28002 Madrid, Spain</w:t>
            </w:r>
          </w:p>
          <w:p>
            <w:pPr>
              <w:pStyle w:val="style0"/>
              <w:jc w:val="both"/>
              <w:rPr>
                <w:lang w:val="es-ES"/>
              </w:rPr>
            </w:pPr>
            <w:r>
              <w:rPr>
                <w:lang w:val="es-ES"/>
              </w:rPr>
              <w:t>Tel +34 91 744 54 00; Fax +34 91 744 54 01</w:t>
            </w:r>
          </w:p>
          <w:p>
            <w:pPr>
              <w:pStyle w:val="style0"/>
              <w:spacing w:after="120" w:before="0"/>
              <w:contextualSpacing w:val="false"/>
              <w:jc w:val="both"/>
              <w:rPr>
                <w:lang w:val="es-ES"/>
              </w:rPr>
            </w:pPr>
            <w:hyperlink r:id="rId14">
              <w:r>
                <w:rPr>
                  <w:rStyle w:val="style16"/>
                  <w:lang w:val="es-ES"/>
                </w:rPr>
                <w:t>http://www.hoteles-silken.com/hotel-puerta-america-madrid/</w:t>
              </w:r>
            </w:hyperlink>
            <w:r>
              <w:rPr>
                <w:lang w:val="es-ES"/>
              </w:rPr>
              <w:t xml:space="preserve">) </w:t>
            </w:r>
          </w:p>
        </w:tc>
        <w:tc>
          <w:tcPr>
            <w:tcW w:type="dxa" w:w="340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120"/>
              <w:contextualSpacing w:val="false"/>
              <w:jc w:val="both"/>
              <w:rPr/>
            </w:pPr>
            <w:r>
              <w:rPr/>
              <w:t>Double Deluxe room : 170€</w:t>
            </w:r>
          </w:p>
          <w:p>
            <w:pPr>
              <w:pStyle w:val="style0"/>
              <w:jc w:val="both"/>
              <w:rPr/>
            </w:pPr>
            <w:r>
              <w:rPr/>
              <w:t>(10% VAT included)</w:t>
            </w:r>
          </w:p>
          <w:p>
            <w:pPr>
              <w:pStyle w:val="style0"/>
              <w:jc w:val="both"/>
              <w:rPr/>
            </w:pPr>
            <w:r>
              <w:rPr/>
              <w:t>Breakfast not included (22€)</w:t>
            </w:r>
          </w:p>
          <w:p>
            <w:pPr>
              <w:pStyle w:val="style0"/>
              <w:jc w:val="both"/>
              <w:rPr>
                <w:lang w:val="fr-FR"/>
              </w:rPr>
            </w:pPr>
            <w:r>
              <w:rPr>
                <w:lang w:val="fr-FR"/>
              </w:rPr>
            </w:r>
          </w:p>
        </w:tc>
      </w:tr>
    </w:tbl>
    <w:p>
      <w:pPr>
        <w:pStyle w:val="style0"/>
        <w:spacing w:line="247" w:lineRule="auto"/>
        <w:jc w:val="both"/>
        <w:rPr/>
      </w:pPr>
      <w:r>
        <w:rPr/>
      </w:r>
    </w:p>
    <w:p>
      <w:pPr>
        <w:pStyle w:val="style0"/>
        <w:spacing w:line="247" w:lineRule="auto"/>
        <w:jc w:val="both"/>
        <w:rPr/>
      </w:pPr>
      <w:r>
        <w:rPr/>
        <w:t xml:space="preserve">Further information may be obtained in </w:t>
      </w:r>
      <w:hyperlink r:id="rId15">
        <w:r>
          <w:rPr>
            <w:rStyle w:val="style16"/>
          </w:rPr>
          <w:t>http://www.iccat.int/en/Madrid.htm</w:t>
        </w:r>
      </w:hyperlink>
      <w:r>
        <w:rPr/>
        <w:t xml:space="preserve"> </w:t>
      </w:r>
    </w:p>
    <w:p>
      <w:pPr>
        <w:pStyle w:val="style0"/>
        <w:widowControl/>
        <w:suppressAutoHyphens w:val="false"/>
        <w:jc w:val="center"/>
        <w:rPr/>
      </w:pPr>
      <w:r>
        <w:rPr/>
      </w:r>
    </w:p>
    <w:p>
      <w:pPr>
        <w:pStyle w:val="style0"/>
        <w:pageBreakBefore/>
        <w:spacing w:after="120" w:before="0"/>
        <w:contextualSpacing w:val="false"/>
        <w:jc w:val="right"/>
        <w:rPr>
          <w:b/>
          <w:bCs/>
          <w:szCs w:val="18"/>
        </w:rPr>
      </w:pPr>
      <w:r>
        <w:rPr>
          <w:b/>
          <w:bCs/>
          <w:szCs w:val="18"/>
        </w:rPr>
        <w:t>ANNEX 1</w:t>
      </w:r>
    </w:p>
    <w:p>
      <w:pPr>
        <w:pStyle w:val="style0"/>
        <w:spacing w:after="120" w:before="0"/>
        <w:contextualSpacing w:val="false"/>
        <w:jc w:val="right"/>
        <w:rPr>
          <w:b/>
          <w:bCs/>
          <w:szCs w:val="18"/>
        </w:rPr>
      </w:pPr>
      <w:r>
        <w:rPr>
          <w:b/>
          <w:bCs/>
          <w:szCs w:val="18"/>
        </w:rPr>
      </w:r>
    </w:p>
    <w:p>
      <w:pPr>
        <w:pStyle w:val="style0"/>
        <w:jc w:val="center"/>
        <w:rPr>
          <w:b/>
          <w:bCs/>
        </w:rPr>
      </w:pPr>
      <w:r>
        <w:rPr>
          <w:b/>
          <w:bCs/>
        </w:rPr>
        <w:t>2014 Bluefin Tuna Work Plan</w:t>
      </w:r>
    </w:p>
    <w:p>
      <w:pPr>
        <w:pStyle w:val="style0"/>
        <w:jc w:val="both"/>
        <w:rPr/>
      </w:pPr>
      <w:r>
        <w:rPr/>
      </w:r>
    </w:p>
    <w:p>
      <w:pPr>
        <w:pStyle w:val="style0"/>
        <w:jc w:val="both"/>
        <w:rPr/>
      </w:pPr>
      <w:r>
        <w:rPr/>
        <w:t xml:space="preserve">Recommendation [10-04] states “In 2012, and thereafter every three years, the SCRS will conduct a stock assessment for bluefin tuna for the western Atlantic and eastern Atlantic and Mediterranean and provide advice to the Commission on the appropriate management measures, inter alia, on total allowable catch levels for those stocks for future years.” </w:t>
      </w:r>
    </w:p>
    <w:p>
      <w:pPr>
        <w:pStyle w:val="style0"/>
        <w:jc w:val="both"/>
        <w:rPr/>
      </w:pPr>
      <w:r>
        <w:rPr/>
      </w:r>
    </w:p>
    <w:p>
      <w:pPr>
        <w:pStyle w:val="style0"/>
        <w:jc w:val="both"/>
        <w:rPr/>
      </w:pPr>
      <w:r>
        <w:rPr/>
        <w:t xml:space="preserve">The Atlantic-wide Research Program for Bluefin tuna (GBYP) and various National programs have produced, and continue to produce, a great deal of new information on the biology and fisheries for bluefin tuna. In preparation for the planned 2015 assessment, time and resources of the SCRS are thus required to validate these data and to incorporate them in the ICCAT database as well as working on updated biological parameters and new modeling approaches. Therefore, the SCRS planned for several meetings in the 2012 work plan. The first two took place in 2013 and aimed at updating the biological parameters and comparing various modeling platforms. For 2014, the SCRS planned a data preparatory meeting (5-10 May) to incorporate the new catch and effort information in ICCAT databases and continuing working on new modeling platforms. </w:t>
      </w:r>
    </w:p>
    <w:p>
      <w:pPr>
        <w:pStyle w:val="style0"/>
        <w:jc w:val="both"/>
        <w:rPr/>
      </w:pPr>
      <w:r>
        <w:rPr/>
      </w:r>
    </w:p>
    <w:p>
      <w:pPr>
        <w:pStyle w:val="style0"/>
        <w:jc w:val="both"/>
        <w:rPr>
          <w:lang w:eastAsia="en-US"/>
        </w:rPr>
      </w:pPr>
      <w:r>
        <w:rPr/>
        <w:t>Recommendation [12-03] for the eastern Atlantic and Mediterranean bluefin tuna further states “In 2014 the SCRS will conduct an update of the stock assessment and provide advice to the Commission.../... Furthermore, the SCRS shall work towards the development of new assessment modeling approaches and inputs, in a view to minimize uncertainties, which shall be used in a stock assessment in 2015 and thereafter every three years.” Finally, a</w:t>
      </w:r>
      <w:r>
        <w:rPr>
          <w:lang w:eastAsia="en-US"/>
        </w:rPr>
        <w:t>t its last session the Commission also adopted Recommendation 13-09 which states: “In 2014, the SCRS will update the stock assessment for bluefin tuna for the western Atlantic stock”.</w:t>
      </w:r>
    </w:p>
    <w:p>
      <w:pPr>
        <w:pStyle w:val="style0"/>
        <w:jc w:val="both"/>
        <w:rPr/>
      </w:pPr>
      <w:r>
        <w:rPr/>
      </w:r>
    </w:p>
    <w:p>
      <w:pPr>
        <w:pStyle w:val="style0"/>
        <w:jc w:val="both"/>
        <w:rPr/>
      </w:pPr>
      <w:r>
        <w:rPr/>
        <w:t>To accommodate priorities to improve the scientific advice by 2015 and the latest commission requests, the SCRS proposes the following workplan for 2014, adapted from the plan approved by the SCRS in 2013:</w:t>
      </w:r>
    </w:p>
    <w:p>
      <w:pPr>
        <w:pStyle w:val="style0"/>
        <w:jc w:val="both"/>
        <w:rPr/>
      </w:pPr>
      <w:r>
        <w:rPr/>
      </w:r>
    </w:p>
    <w:p>
      <w:pPr>
        <w:pStyle w:val="style0"/>
        <w:tabs>
          <w:tab w:leader="none" w:pos="284" w:val="left"/>
          <w:tab w:leader="none" w:pos="567" w:val="left"/>
          <w:tab w:leader="none" w:pos="851" w:val="left"/>
        </w:tabs>
        <w:spacing w:after="100" w:before="0"/>
        <w:contextualSpacing w:val="false"/>
        <w:jc w:val="both"/>
        <w:rPr/>
      </w:pPr>
      <w:r>
        <w:rPr/>
        <w:tab/>
        <w:t>1.</w:t>
        <w:tab/>
        <w:t xml:space="preserve">Conduct an Inter-sessional Preparatory Workshop in early 2014 (6 days) that will focus on the following: </w:t>
      </w:r>
    </w:p>
    <w:p>
      <w:pPr>
        <w:pStyle w:val="style0"/>
        <w:tabs>
          <w:tab w:leader="none" w:pos="1135" w:val="left"/>
          <w:tab w:leader="none" w:pos="1418" w:val="left"/>
          <w:tab w:leader="none" w:pos="1702" w:val="left"/>
        </w:tabs>
        <w:ind w:hanging="851" w:left="851" w:right="0"/>
        <w:jc w:val="both"/>
        <w:rPr/>
      </w:pPr>
      <w:r>
        <w:rPr/>
        <w:t xml:space="preserve">            </w:t>
      </w:r>
      <w:r>
        <w:rPr/>
        <w:t>a)</w:t>
        <w:tab/>
        <w:t xml:space="preserve">Update fishery indicators in accordance Rec. [12-03], paragraph. 50, except for the Spanish bait boat CPUE as their quota has been transferred to Spanish purse seiners since 2012. The Japanese CPUE will have to be split into two periods, before and after TAC implementation due to changes in spatial coverage of the fishery. </w:t>
      </w:r>
    </w:p>
    <w:p>
      <w:pPr>
        <w:pStyle w:val="style34"/>
        <w:numPr>
          <w:ilvl w:val="0"/>
          <w:numId w:val="1"/>
        </w:numPr>
        <w:rPr/>
      </w:pPr>
      <w:r>
        <w:rPr/>
        <w:t xml:space="preserve">Revise Task II by validating and integrating the catch at size statistics with new information from farms and other sources of information. </w:t>
      </w:r>
    </w:p>
    <w:p>
      <w:pPr>
        <w:pStyle w:val="style34"/>
        <w:numPr>
          <w:ilvl w:val="0"/>
          <w:numId w:val="1"/>
        </w:numPr>
        <w:rPr/>
      </w:pPr>
      <w:r>
        <w:rPr/>
        <w:t xml:space="preserve">Update the length-weight relationship for both stocks, i.e. Western and Eastern / Mediterranean stocks. </w:t>
      </w:r>
    </w:p>
    <w:p>
      <w:pPr>
        <w:pStyle w:val="style34"/>
        <w:numPr>
          <w:ilvl w:val="0"/>
          <w:numId w:val="1"/>
        </w:numPr>
        <w:rPr/>
      </w:pPr>
      <w:r>
        <w:rPr/>
        <w:t xml:space="preserve">Prepare CAS, CAA, WAA (total and per fleet) using the new length-weight relationship. </w:t>
      </w:r>
    </w:p>
    <w:p>
      <w:pPr>
        <w:pStyle w:val="style0"/>
        <w:tabs>
          <w:tab w:leader="none" w:pos="567" w:val="left"/>
          <w:tab w:leader="none" w:pos="850" w:val="left"/>
          <w:tab w:leader="none" w:pos="1134" w:val="left"/>
        </w:tabs>
        <w:ind w:firstLine="284" w:left="283" w:right="0"/>
        <w:jc w:val="both"/>
        <w:rPr/>
      </w:pPr>
      <w:r>
        <w:rPr/>
        <w:t>e)</w:t>
        <w:tab/>
        <w:t>Review tagging past and recent data for bluefin tuna.</w:t>
      </w:r>
    </w:p>
    <w:p>
      <w:pPr>
        <w:pStyle w:val="style0"/>
        <w:tabs>
          <w:tab w:leader="none" w:pos="1135" w:val="left"/>
          <w:tab w:leader="none" w:pos="1418" w:val="left"/>
          <w:tab w:leader="none" w:pos="1702" w:val="left"/>
        </w:tabs>
        <w:spacing w:after="100" w:before="0"/>
        <w:ind w:hanging="851" w:left="851" w:right="0"/>
        <w:contextualSpacing w:val="false"/>
        <w:jc w:val="both"/>
        <w:rPr/>
      </w:pPr>
      <w:r>
        <w:rPr/>
        <w:t xml:space="preserve">            </w:t>
      </w:r>
      <w:r>
        <w:rPr/>
        <w:t>f)</w:t>
        <w:tab/>
        <w:t xml:space="preserve">Complete outstanding tasks from the Biological Parameters meeting in Tenerife (age-length relationships, morphometric conversions, natural mortality, reproduction, etc.). </w:t>
      </w:r>
    </w:p>
    <w:p>
      <w:pPr>
        <w:pStyle w:val="style0"/>
        <w:tabs>
          <w:tab w:leader="none" w:pos="293" w:val="left"/>
          <w:tab w:leader="none" w:pos="576" w:val="left"/>
          <w:tab w:leader="none" w:pos="860" w:val="left"/>
        </w:tabs>
        <w:spacing w:after="100" w:before="0"/>
        <w:ind w:hanging="0" w:left="9" w:right="0"/>
        <w:contextualSpacing w:val="false"/>
        <w:jc w:val="both"/>
        <w:rPr/>
      </w:pPr>
      <w:r>
        <w:rPr/>
        <w:tab/>
        <w:t>2.</w:t>
        <w:tab/>
        <w:t>Continue a series of workshops and related activities (to be sponsored by the GBYP and various national programs) in accordance with recommendations from the Biological Parameters Meeting (Tenerife) and the Bluefin Methods meeting (Gloucester) including:</w:t>
      </w:r>
    </w:p>
    <w:p>
      <w:pPr>
        <w:pStyle w:val="style0"/>
        <w:tabs>
          <w:tab w:leader="none" w:pos="567" w:val="left"/>
          <w:tab w:leader="none" w:pos="850" w:val="left"/>
          <w:tab w:leader="none" w:pos="1134" w:val="left"/>
        </w:tabs>
        <w:ind w:firstLine="284" w:left="283" w:right="0"/>
        <w:jc w:val="both"/>
        <w:rPr/>
      </w:pPr>
      <w:r>
        <w:rPr/>
        <w:t>a)</w:t>
        <w:tab/>
        <w:t>Establish a reference collection for otoliths and hard parts and calibrate age estimates among readers.</w:t>
      </w:r>
    </w:p>
    <w:p>
      <w:pPr>
        <w:pStyle w:val="style0"/>
        <w:tabs>
          <w:tab w:leader="none" w:pos="567" w:val="left"/>
          <w:tab w:leader="none" w:pos="850" w:val="left"/>
          <w:tab w:leader="none" w:pos="1134" w:val="left"/>
        </w:tabs>
        <w:ind w:firstLine="284" w:left="283" w:right="0"/>
        <w:jc w:val="both"/>
        <w:rPr/>
      </w:pPr>
      <w:r>
        <w:rPr/>
        <w:t>b)</w:t>
        <w:tab/>
        <w:t>Larval biology workshop.</w:t>
      </w:r>
    </w:p>
    <w:p>
      <w:pPr>
        <w:pStyle w:val="style0"/>
        <w:tabs>
          <w:tab w:leader="none" w:pos="1135" w:val="left"/>
          <w:tab w:leader="none" w:pos="1418" w:val="left"/>
          <w:tab w:leader="none" w:pos="1702" w:val="left"/>
        </w:tabs>
        <w:ind w:hanging="283" w:left="851" w:right="0"/>
        <w:jc w:val="both"/>
        <w:rPr/>
      </w:pPr>
      <w:r>
        <w:rPr/>
        <w:t>c)</w:t>
        <w:tab/>
        <w:t>Continue the development of new modeling platforms that can better take into account various sources of uncertainties.</w:t>
      </w:r>
    </w:p>
    <w:p>
      <w:pPr>
        <w:pStyle w:val="style0"/>
        <w:tabs>
          <w:tab w:leader="none" w:pos="1135" w:val="left"/>
          <w:tab w:leader="none" w:pos="1418" w:val="left"/>
          <w:tab w:leader="none" w:pos="1702" w:val="left"/>
        </w:tabs>
        <w:jc w:val="both"/>
        <w:rPr/>
      </w:pPr>
      <w:r>
        <w:rPr/>
      </w:r>
    </w:p>
    <w:p>
      <w:pPr>
        <w:pStyle w:val="style0"/>
        <w:tabs>
          <w:tab w:leader="none" w:pos="293" w:val="left"/>
          <w:tab w:leader="none" w:pos="576" w:val="left"/>
          <w:tab w:leader="none" w:pos="860" w:val="left"/>
        </w:tabs>
        <w:spacing w:after="100" w:before="0"/>
        <w:ind w:hanging="0" w:left="9" w:right="0"/>
        <w:contextualSpacing w:val="false"/>
        <w:jc w:val="both"/>
        <w:rPr/>
      </w:pPr>
      <w:r>
        <w:rPr/>
        <w:tab/>
        <w:t>3.</w:t>
        <w:tab/>
        <w:t>Update the 2012 assessments of western and eastern/Mediterranean bluefin tuna using, insofar as is possible, the methods used during 2012.</w:t>
      </w:r>
    </w:p>
    <w:p>
      <w:pPr>
        <w:pStyle w:val="style0"/>
        <w:tabs>
          <w:tab w:leader="none" w:pos="1135" w:val="left"/>
          <w:tab w:leader="none" w:pos="1418" w:val="left"/>
          <w:tab w:leader="none" w:pos="1702" w:val="left"/>
        </w:tabs>
        <w:jc w:val="both"/>
        <w:rPr/>
      </w:pPr>
      <w:r>
        <w:rPr/>
      </w:r>
    </w:p>
    <w:p>
      <w:pPr>
        <w:pStyle w:val="style0"/>
        <w:jc w:val="both"/>
        <w:rPr/>
      </w:pPr>
      <w:r>
        <w:rPr/>
        <w:t>There is thus a considerable amount of work to be done in 2014, i.e., validating and incorporating 10,000s of new files into the current ICCAT databases, calibrating and updating all the size and age conversion methods, updating previous assessments and continuing the development of new modeling platforms.</w:t>
      </w:r>
    </w:p>
    <w:p>
      <w:pPr>
        <w:pStyle w:val="style0"/>
        <w:jc w:val="both"/>
        <w:rPr/>
      </w:pPr>
      <w:r>
        <w:rPr/>
      </w:r>
    </w:p>
    <w:p>
      <w:pPr>
        <w:pStyle w:val="style0"/>
        <w:jc w:val="both"/>
        <w:rPr/>
      </w:pPr>
      <w:r>
        <w:rPr/>
        <w:t>The work plan for 2014 is detailed in a table of the main tasks, responsibilities, deadlines and priorities which is provided as an annex to this document. The first priority will be to conduct an update of the 2012 stock assessment for western and eastern/Mediterranean stocks using catch data and abundance indices updated through 2013. The second priority will be to incorporate the new information (trade, farms, biology) into the Task I and Task II data base (catch, catch-at-size, catch-at-age, weight-at-age). A preliminary assessment of the eastern/Mediterranean stock based on these revised Task I and Task 2 data will be attempted, but priority will be given to completing the update assessment stipulated by the relevant Commission Recommendations”. This line of priorities defines the order of the work that will be undertaken. Each priority must be completed in order for the group to move forward to the next step. The SCRS proposes that an additional inter-sessional meeting be planned in September 2014, during the species group meetings, to conduct the update of the 2012 stock assessment of eastern and western Atlantic stocks and, if time permits, a preliminary new assessment for the eastern stock. . This new preliminary stock assessment for the East will apply the current VPA software (VPA-2BOX) to the revised catch data using the new information (farm, trade, biological parameters). Initial ‘pilot’ updates of the 2012 SA (east and west) and the new preliminary SA for the East will be completed before the species group by the co-chairs and volunteer scientists and circulated prior to the species group meeting in September as an SCRS document. Any proposed revisions to the assessment will be addressed during the beginning of the Bluefin species group meeting to allow time for any additional runs and incorporation of the results into the executive summary. However, even if the new data are available this new stock assessment is unlikely to reduce substantially most of the unquantified uncertainties.</w:t>
      </w:r>
    </w:p>
    <w:p>
      <w:pPr>
        <w:pStyle w:val="style0"/>
        <w:jc w:val="both"/>
        <w:rPr/>
      </w:pPr>
      <w:r>
        <w:rPr/>
      </w:r>
    </w:p>
    <w:p>
      <w:pPr>
        <w:pStyle w:val="style0"/>
        <w:jc w:val="both"/>
        <w:rPr/>
      </w:pPr>
      <w:r>
        <w:rPr/>
        <w:t xml:space="preserve">The following table summarized the activities defined in the work plan and its priorities. </w:t>
      </w:r>
    </w:p>
    <w:p>
      <w:pPr>
        <w:pStyle w:val="style0"/>
        <w:spacing w:after="120" w:before="0"/>
        <w:contextualSpacing w:val="false"/>
        <w:jc w:val="both"/>
        <w:rPr>
          <w:b/>
          <w:bCs/>
          <w:szCs w:val="18"/>
        </w:rPr>
      </w:pPr>
      <w:r>
        <w:rPr>
          <w:b/>
          <w:bCs/>
          <w:szCs w:val="18"/>
        </w:rPr>
      </w:r>
    </w:p>
    <w:p>
      <w:pPr>
        <w:pStyle w:val="style0"/>
        <w:jc w:val="center"/>
        <w:rPr>
          <w:b/>
        </w:rPr>
      </w:pPr>
      <w:r>
        <w:rPr>
          <w:b/>
        </w:rPr>
      </w:r>
    </w:p>
    <w:tbl>
      <w:tblPr>
        <w:jc w:val="left"/>
        <w:tblInd w:type="dxa" w:w="0"/>
        <w:tblBorders>
          <w:top w:val="nil"/>
          <w:left w:color="000001" w:space="0" w:sz="8" w:val="single"/>
          <w:bottom w:val="nil"/>
          <w:insideH w:val="nil"/>
          <w:right w:val="nil"/>
          <w:insideV w:val="nil"/>
        </w:tblBorders>
        <w:tblCellMar>
          <w:top w:type="dxa" w:w="0"/>
          <w:left w:type="dxa" w:w="107"/>
          <w:bottom w:type="dxa" w:w="0"/>
          <w:right w:type="dxa" w:w="108"/>
        </w:tblCellMar>
      </w:tblPr>
      <w:tblGrid>
        <w:gridCol w:w="3344"/>
        <w:gridCol w:w="1536"/>
        <w:gridCol w:w="1180"/>
        <w:gridCol w:w="1443"/>
        <w:gridCol w:w="1551"/>
      </w:tblGrid>
      <w:tr>
        <w:trPr>
          <w:cantSplit w:val="false"/>
        </w:trPr>
        <w:tc>
          <w:tcPr>
            <w:tcW w:type="dxa" w:w="3344"/>
            <w:tcBorders>
              <w:top w:val="nil"/>
              <w:left w:color="000001" w:space="0" w:sz="8" w:val="single"/>
              <w:bottom w:val="nil"/>
              <w:right w:val="nil"/>
            </w:tcBorders>
            <w:shd w:fill="000000" w:val="clear"/>
            <w:tcMar>
              <w:left w:type="dxa" w:w="107"/>
            </w:tcMar>
          </w:tcPr>
          <w:p>
            <w:pPr>
              <w:pStyle w:val="style0"/>
              <w:spacing w:after="0" w:before="0" w:line="100" w:lineRule="atLeast"/>
              <w:contextualSpacing w:val="false"/>
              <w:jc w:val="left"/>
              <w:rPr>
                <w:rFonts w:cs=""/>
                <w:b/>
                <w:bCs/>
                <w:color w:val="FFFFFF"/>
                <w:sz w:val="20"/>
              </w:rPr>
            </w:pPr>
            <w:r>
              <w:rPr>
                <w:rFonts w:cs=""/>
                <w:b/>
                <w:bCs/>
                <w:color w:val="FFFFFF"/>
                <w:sz w:val="20"/>
              </w:rPr>
              <w:t>TASK</w:t>
            </w:r>
          </w:p>
        </w:tc>
        <w:tc>
          <w:tcPr>
            <w:tcW w:type="dxa" w:w="1536"/>
            <w:tcBorders>
              <w:top w:val="nil"/>
              <w:left w:val="nil"/>
              <w:bottom w:val="nil"/>
              <w:right w:val="nil"/>
            </w:tcBorders>
            <w:shd w:fill="000000" w:val="clear"/>
          </w:tcPr>
          <w:p>
            <w:pPr>
              <w:pStyle w:val="style0"/>
              <w:spacing w:after="0" w:before="0" w:line="100" w:lineRule="atLeast"/>
              <w:contextualSpacing w:val="false"/>
              <w:jc w:val="left"/>
              <w:rPr>
                <w:rFonts w:cs=""/>
                <w:b/>
                <w:bCs/>
                <w:color w:val="FFFFFF"/>
                <w:sz w:val="20"/>
              </w:rPr>
            </w:pPr>
            <w:r>
              <w:rPr>
                <w:rFonts w:cs=""/>
                <w:b/>
                <w:bCs/>
                <w:color w:val="FFFFFF"/>
                <w:sz w:val="20"/>
              </w:rPr>
              <w:t>Responsability</w:t>
            </w:r>
          </w:p>
        </w:tc>
        <w:tc>
          <w:tcPr>
            <w:tcW w:type="dxa" w:w="1180"/>
            <w:tcBorders>
              <w:top w:val="nil"/>
              <w:left w:val="nil"/>
              <w:bottom w:val="nil"/>
              <w:right w:val="nil"/>
            </w:tcBorders>
            <w:shd w:fill="000000" w:val="clear"/>
          </w:tcPr>
          <w:p>
            <w:pPr>
              <w:pStyle w:val="style0"/>
              <w:spacing w:after="0" w:before="0" w:line="100" w:lineRule="atLeast"/>
              <w:contextualSpacing w:val="false"/>
              <w:jc w:val="left"/>
              <w:rPr>
                <w:rFonts w:cs=""/>
                <w:b/>
                <w:bCs/>
                <w:color w:val="FFFFFF"/>
                <w:sz w:val="20"/>
              </w:rPr>
            </w:pPr>
            <w:r>
              <w:rPr>
                <w:rFonts w:cs=""/>
                <w:b/>
                <w:bCs/>
                <w:color w:val="FFFFFF"/>
                <w:sz w:val="20"/>
              </w:rPr>
              <w:t>Deadline</w:t>
            </w:r>
          </w:p>
        </w:tc>
        <w:tc>
          <w:tcPr>
            <w:tcW w:type="dxa" w:w="1443"/>
            <w:tcBorders>
              <w:top w:val="nil"/>
              <w:left w:val="nil"/>
              <w:bottom w:val="nil"/>
              <w:right w:val="nil"/>
            </w:tcBorders>
            <w:shd w:fill="000000" w:val="clear"/>
          </w:tcPr>
          <w:p>
            <w:pPr>
              <w:pStyle w:val="style0"/>
              <w:spacing w:after="0" w:before="0" w:line="100" w:lineRule="atLeast"/>
              <w:contextualSpacing w:val="false"/>
              <w:jc w:val="left"/>
              <w:rPr>
                <w:rFonts w:cs=""/>
                <w:b/>
                <w:bCs/>
                <w:color w:val="FFFFFF"/>
                <w:sz w:val="20"/>
              </w:rPr>
            </w:pPr>
            <w:r>
              <w:rPr>
                <w:rFonts w:cs=""/>
                <w:b/>
                <w:bCs/>
                <w:color w:val="FFFFFF"/>
                <w:sz w:val="20"/>
              </w:rPr>
              <w:t>Deliverable</w:t>
            </w:r>
          </w:p>
        </w:tc>
        <w:tc>
          <w:tcPr>
            <w:tcW w:type="dxa" w:w="1551"/>
            <w:tcBorders>
              <w:top w:val="nil"/>
              <w:left w:val="nil"/>
              <w:bottom w:val="nil"/>
              <w:right w:color="000001" w:space="0" w:sz="8" w:val="single"/>
            </w:tcBorders>
            <w:shd w:fill="000000" w:val="clear"/>
            <w:vAlign w:val="center"/>
          </w:tcPr>
          <w:p>
            <w:pPr>
              <w:pStyle w:val="style0"/>
              <w:spacing w:after="0" w:before="0" w:line="100" w:lineRule="atLeast"/>
              <w:contextualSpacing w:val="false"/>
              <w:jc w:val="left"/>
              <w:rPr>
                <w:rFonts w:cs=""/>
                <w:b/>
                <w:bCs/>
                <w:color w:val="FFFFFF"/>
                <w:sz w:val="20"/>
              </w:rPr>
            </w:pPr>
            <w:r>
              <w:rPr>
                <w:rFonts w:cs=""/>
                <w:b/>
                <w:bCs/>
                <w:color w:val="FFFFFF"/>
                <w:sz w:val="20"/>
              </w:rPr>
              <w:t>Priority</w:t>
            </w:r>
          </w:p>
        </w:tc>
      </w:tr>
      <w:tr>
        <w:trPr>
          <w:cantSplit w:val="false"/>
        </w:trPr>
        <w:tc>
          <w:tcPr>
            <w:tcW w:type="dxa" w:w="3344"/>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Request the CPCs the submission of Task I &amp; II by the end of May</w:t>
            </w:r>
          </w:p>
        </w:tc>
        <w:tc>
          <w:tcPr>
            <w:tcW w:type="dxa" w:w="1536"/>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Secretariat</w:t>
            </w:r>
          </w:p>
        </w:tc>
        <w:tc>
          <w:tcPr>
            <w:tcW w:type="dxa" w:w="1180"/>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February</w:t>
            </w:r>
          </w:p>
        </w:tc>
        <w:tc>
          <w:tcPr>
            <w:tcW w:type="dxa" w:w="1443"/>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Circular</w:t>
            </w:r>
          </w:p>
        </w:tc>
        <w:tc>
          <w:tcPr>
            <w:tcW w:type="dxa" w:w="1551"/>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1</w:t>
            </w:r>
          </w:p>
        </w:tc>
      </w:tr>
      <w:tr>
        <w:trPr>
          <w:cantSplit w:val="false"/>
        </w:trPr>
        <w:tc>
          <w:tcPr>
            <w:tcW w:type="dxa" w:w="3344"/>
            <w:tcBorders>
              <w:top w:val="nil"/>
              <w:left w:color="000001" w:space="0" w:sz="8" w:val="single"/>
              <w:bottom w:val="nil"/>
              <w:right w:val="nil"/>
            </w:tcBorders>
            <w:shd w:fill="auto" w:val="clear"/>
            <w:tcMar>
              <w:left w:type="dxa" w:w="107"/>
            </w:tcMar>
            <w:vAlign w:val="center"/>
          </w:tcPr>
          <w:p>
            <w:pPr>
              <w:pStyle w:val="style0"/>
              <w:jc w:val="left"/>
              <w:rPr>
                <w:rFonts w:cs=""/>
                <w:b w:val="false"/>
                <w:bCs/>
                <w:sz w:val="20"/>
              </w:rPr>
            </w:pPr>
            <w:r>
              <w:rPr>
                <w:rFonts w:cs=""/>
                <w:b w:val="false"/>
                <w:bCs/>
                <w:sz w:val="20"/>
              </w:rPr>
              <w:t>Circulate the 2014 BFT adapted Work Plan</w:t>
            </w:r>
          </w:p>
        </w:tc>
        <w:tc>
          <w:tcPr>
            <w:tcW w:type="dxa" w:w="1536"/>
            <w:tcBorders>
              <w:top w:val="nil"/>
              <w:left w:val="nil"/>
              <w:bottom w:val="nil"/>
              <w:right w:val="nil"/>
            </w:tcBorders>
            <w:shd w:fill="auto" w:val="clear"/>
            <w:vAlign w:val="center"/>
          </w:tcPr>
          <w:p>
            <w:pPr>
              <w:pStyle w:val="style0"/>
              <w:jc w:val="left"/>
              <w:rPr>
                <w:rFonts w:cs=""/>
                <w:sz w:val="20"/>
              </w:rPr>
            </w:pPr>
            <w:r>
              <w:rPr>
                <w:rFonts w:cs=""/>
                <w:sz w:val="20"/>
              </w:rPr>
              <w:t>Secretariat</w:t>
            </w:r>
          </w:p>
        </w:tc>
        <w:tc>
          <w:tcPr>
            <w:tcW w:type="dxa" w:w="1180"/>
            <w:tcBorders>
              <w:top w:val="nil"/>
              <w:left w:val="nil"/>
              <w:bottom w:val="nil"/>
              <w:right w:val="nil"/>
            </w:tcBorders>
            <w:shd w:fill="auto" w:val="clear"/>
            <w:vAlign w:val="center"/>
          </w:tcPr>
          <w:p>
            <w:pPr>
              <w:pStyle w:val="style0"/>
              <w:jc w:val="left"/>
              <w:rPr>
                <w:rFonts w:cs=""/>
                <w:sz w:val="20"/>
              </w:rPr>
            </w:pPr>
            <w:r>
              <w:rPr>
                <w:rFonts w:cs=""/>
                <w:sz w:val="20"/>
              </w:rPr>
              <w:t>February</w:t>
            </w:r>
          </w:p>
        </w:tc>
        <w:tc>
          <w:tcPr>
            <w:tcW w:type="dxa" w:w="1443"/>
            <w:tcBorders>
              <w:top w:val="nil"/>
              <w:left w:val="nil"/>
              <w:bottom w:val="nil"/>
              <w:right w:val="nil"/>
            </w:tcBorders>
            <w:shd w:fill="auto" w:val="clear"/>
            <w:vAlign w:val="center"/>
          </w:tcPr>
          <w:p>
            <w:pPr>
              <w:pStyle w:val="style0"/>
              <w:jc w:val="left"/>
              <w:rPr>
                <w:rFonts w:cs=""/>
                <w:sz w:val="20"/>
              </w:rPr>
            </w:pPr>
            <w:r>
              <w:rPr>
                <w:rFonts w:cs=""/>
                <w:sz w:val="20"/>
              </w:rPr>
              <w:t>Circular</w:t>
            </w:r>
          </w:p>
        </w:tc>
        <w:tc>
          <w:tcPr>
            <w:tcW w:type="dxa" w:w="1551"/>
            <w:tcBorders>
              <w:top w:val="nil"/>
              <w:left w:val="nil"/>
              <w:bottom w:val="nil"/>
              <w:right w:color="000001" w:space="0" w:sz="8" w:val="single"/>
            </w:tcBorders>
            <w:shd w:fill="auto" w:val="clear"/>
            <w:vAlign w:val="center"/>
          </w:tcPr>
          <w:p>
            <w:pPr>
              <w:pStyle w:val="style0"/>
              <w:jc w:val="left"/>
              <w:rPr>
                <w:rFonts w:cs=""/>
                <w:sz w:val="20"/>
              </w:rPr>
            </w:pPr>
            <w:r>
              <w:rPr>
                <w:rFonts w:cs=""/>
                <w:sz w:val="20"/>
              </w:rPr>
              <w:t>1</w:t>
            </w:r>
          </w:p>
        </w:tc>
      </w:tr>
      <w:tr>
        <w:trPr>
          <w:cantSplit w:val="false"/>
        </w:trPr>
        <w:tc>
          <w:tcPr>
            <w:tcW w:type="dxa" w:w="3344"/>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Revise 1950-(2013) Task I (aggregated catch, by gear/fleet) data by including new data recovered by the GBYP</w:t>
            </w:r>
          </w:p>
        </w:tc>
        <w:tc>
          <w:tcPr>
            <w:tcW w:type="dxa" w:w="1536"/>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Secretariat and CPCs</w:t>
            </w:r>
          </w:p>
        </w:tc>
        <w:tc>
          <w:tcPr>
            <w:tcW w:type="dxa" w:w="1180"/>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Data Prep. meeting</w:t>
            </w:r>
          </w:p>
        </w:tc>
        <w:tc>
          <w:tcPr>
            <w:tcW w:type="dxa" w:w="1443"/>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SCRS documents</w:t>
            </w:r>
          </w:p>
          <w:p>
            <w:pPr>
              <w:pStyle w:val="style0"/>
              <w:jc w:val="left"/>
              <w:rPr>
                <w:rFonts w:cs=""/>
                <w:sz w:val="20"/>
              </w:rPr>
            </w:pPr>
            <w:r>
              <w:rPr>
                <w:rFonts w:cs=""/>
                <w:sz w:val="20"/>
              </w:rPr>
              <w:t>Revised Task I</w:t>
            </w:r>
          </w:p>
        </w:tc>
        <w:tc>
          <w:tcPr>
            <w:tcW w:type="dxa" w:w="1551"/>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1</w:t>
            </w:r>
          </w:p>
        </w:tc>
      </w:tr>
      <w:tr>
        <w:trPr>
          <w:cantSplit w:val="false"/>
        </w:trPr>
        <w:tc>
          <w:tcPr>
            <w:tcW w:type="dxa" w:w="3344"/>
            <w:tcBorders>
              <w:top w:val="nil"/>
              <w:left w:color="000001" w:space="0" w:sz="8" w:val="single"/>
              <w:bottom w:val="nil"/>
              <w:right w:val="nil"/>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Other Data (trade statistics, additional size data from farms, other)</w:t>
            </w:r>
          </w:p>
        </w:tc>
        <w:tc>
          <w:tcPr>
            <w:tcW w:type="dxa" w:w="1536"/>
            <w:tcBorders>
              <w:top w:val="nil"/>
              <w:left w:val="nil"/>
              <w:bottom w:val="nil"/>
              <w:right w:val="nil"/>
            </w:tcBorders>
            <w:shd w:fill="auto" w:val="clear"/>
            <w:vAlign w:val="center"/>
          </w:tcPr>
          <w:p>
            <w:pPr>
              <w:pStyle w:val="style0"/>
              <w:jc w:val="left"/>
              <w:rPr>
                <w:rFonts w:cs=""/>
                <w:sz w:val="20"/>
              </w:rPr>
            </w:pPr>
            <w:r>
              <w:rPr>
                <w:rFonts w:cs=""/>
                <w:sz w:val="20"/>
              </w:rPr>
              <w:t>External expert/CPCs/Secretariat</w:t>
            </w:r>
          </w:p>
        </w:tc>
        <w:tc>
          <w:tcPr>
            <w:tcW w:type="dxa" w:w="1180"/>
            <w:tcBorders>
              <w:top w:val="nil"/>
              <w:left w:val="nil"/>
              <w:bottom w:val="nil"/>
              <w:right w:val="nil"/>
            </w:tcBorders>
            <w:shd w:fill="auto" w:val="clear"/>
            <w:vAlign w:val="center"/>
          </w:tcPr>
          <w:p>
            <w:pPr>
              <w:pStyle w:val="style0"/>
              <w:jc w:val="left"/>
              <w:rPr>
                <w:rFonts w:cs=""/>
                <w:sz w:val="20"/>
              </w:rPr>
            </w:pPr>
            <w:r>
              <w:rPr>
                <w:rFonts w:cs=""/>
                <w:sz w:val="20"/>
              </w:rPr>
              <w:t>Data Prep. meeting</w:t>
            </w:r>
          </w:p>
        </w:tc>
        <w:tc>
          <w:tcPr>
            <w:tcW w:type="dxa" w:w="1443"/>
            <w:tcBorders>
              <w:top w:val="nil"/>
              <w:left w:val="nil"/>
              <w:bottom w:val="nil"/>
              <w:right w:val="nil"/>
            </w:tcBorders>
            <w:shd w:fill="auto" w:val="clear"/>
            <w:vAlign w:val="center"/>
          </w:tcPr>
          <w:p>
            <w:pPr>
              <w:pStyle w:val="style0"/>
              <w:jc w:val="left"/>
              <w:rPr>
                <w:rFonts w:cs=""/>
                <w:sz w:val="20"/>
              </w:rPr>
            </w:pPr>
            <w:r>
              <w:rPr>
                <w:rFonts w:cs=""/>
                <w:sz w:val="20"/>
              </w:rPr>
              <w:t>SCRS documents</w:t>
            </w:r>
          </w:p>
          <w:p>
            <w:pPr>
              <w:pStyle w:val="style0"/>
              <w:jc w:val="left"/>
              <w:rPr>
                <w:rFonts w:cs=""/>
                <w:sz w:val="20"/>
              </w:rPr>
            </w:pPr>
            <w:r>
              <w:rPr>
                <w:rFonts w:cs=""/>
                <w:sz w:val="20"/>
              </w:rPr>
            </w:r>
          </w:p>
        </w:tc>
        <w:tc>
          <w:tcPr>
            <w:tcW w:type="dxa" w:w="1551"/>
            <w:tcBorders>
              <w:top w:val="nil"/>
              <w:left w:val="nil"/>
              <w:bottom w:val="nil"/>
              <w:right w:color="000001" w:space="0" w:sz="8" w:val="single"/>
            </w:tcBorders>
            <w:shd w:fill="auto" w:val="clear"/>
            <w:vAlign w:val="center"/>
          </w:tcPr>
          <w:p>
            <w:pPr>
              <w:pStyle w:val="style0"/>
              <w:jc w:val="left"/>
              <w:rPr>
                <w:rFonts w:cs=""/>
                <w:sz w:val="20"/>
              </w:rPr>
            </w:pPr>
            <w:r>
              <w:rPr>
                <w:rFonts w:cs=""/>
                <w:sz w:val="20"/>
              </w:rPr>
              <w:t>1</w:t>
            </w:r>
          </w:p>
        </w:tc>
      </w:tr>
      <w:tr>
        <w:trPr>
          <w:cantSplit w:val="false"/>
        </w:trPr>
        <w:tc>
          <w:tcPr>
            <w:tcW w:type="dxa" w:w="3344"/>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Update the length-weight relationship for both stocks</w:t>
            </w:r>
          </w:p>
        </w:tc>
        <w:tc>
          <w:tcPr>
            <w:tcW w:type="dxa" w:w="1536"/>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CPCs</w:t>
            </w:r>
          </w:p>
        </w:tc>
        <w:tc>
          <w:tcPr>
            <w:tcW w:type="dxa" w:w="1180"/>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Data Prep. meeting</w:t>
            </w:r>
          </w:p>
        </w:tc>
        <w:tc>
          <w:tcPr>
            <w:tcW w:type="dxa" w:w="1443"/>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SCRS documents</w:t>
            </w:r>
          </w:p>
          <w:p>
            <w:pPr>
              <w:pStyle w:val="style0"/>
              <w:jc w:val="left"/>
              <w:rPr>
                <w:rFonts w:cs=""/>
                <w:sz w:val="20"/>
              </w:rPr>
            </w:pPr>
            <w:r>
              <w:rPr>
                <w:rFonts w:cs=""/>
                <w:sz w:val="20"/>
              </w:rPr>
            </w:r>
          </w:p>
        </w:tc>
        <w:tc>
          <w:tcPr>
            <w:tcW w:type="dxa" w:w="1551"/>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2</w:t>
            </w:r>
          </w:p>
        </w:tc>
      </w:tr>
      <w:tr>
        <w:trPr>
          <w:cantSplit w:val="false"/>
        </w:trPr>
        <w:tc>
          <w:tcPr>
            <w:tcW w:type="dxa" w:w="3344"/>
            <w:tcBorders>
              <w:top w:val="nil"/>
              <w:left w:color="000001" w:space="0" w:sz="8" w:val="single"/>
              <w:bottom w:val="nil"/>
              <w:right w:val="nil"/>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Revise 1950-(2013) Task II by validating and integrating the catch at size statistics with new information from farms and other sources.</w:t>
            </w:r>
          </w:p>
        </w:tc>
        <w:tc>
          <w:tcPr>
            <w:tcW w:type="dxa" w:w="1536"/>
            <w:tcBorders>
              <w:top w:val="nil"/>
              <w:left w:val="nil"/>
              <w:bottom w:val="nil"/>
              <w:right w:val="nil"/>
            </w:tcBorders>
            <w:shd w:fill="auto" w:val="clear"/>
            <w:vAlign w:val="center"/>
          </w:tcPr>
          <w:p>
            <w:pPr>
              <w:pStyle w:val="style0"/>
              <w:jc w:val="left"/>
              <w:rPr>
                <w:rFonts w:cs=""/>
                <w:sz w:val="20"/>
              </w:rPr>
            </w:pPr>
            <w:r>
              <w:rPr>
                <w:rFonts w:cs=""/>
                <w:sz w:val="20"/>
              </w:rPr>
              <w:t>Secretariat</w:t>
            </w:r>
          </w:p>
        </w:tc>
        <w:tc>
          <w:tcPr>
            <w:tcW w:type="dxa" w:w="1180"/>
            <w:tcBorders>
              <w:top w:val="nil"/>
              <w:left w:val="nil"/>
              <w:bottom w:val="nil"/>
              <w:right w:val="nil"/>
            </w:tcBorders>
            <w:shd w:fill="auto" w:val="clear"/>
            <w:vAlign w:val="center"/>
          </w:tcPr>
          <w:p>
            <w:pPr>
              <w:pStyle w:val="style0"/>
              <w:jc w:val="left"/>
              <w:rPr>
                <w:rFonts w:cs=""/>
                <w:sz w:val="20"/>
              </w:rPr>
            </w:pPr>
            <w:r>
              <w:rPr>
                <w:rFonts w:cs=""/>
                <w:sz w:val="20"/>
              </w:rPr>
              <w:t>Data Prep. meeting</w:t>
            </w:r>
          </w:p>
        </w:tc>
        <w:tc>
          <w:tcPr>
            <w:tcW w:type="dxa" w:w="1443"/>
            <w:tcBorders>
              <w:top w:val="nil"/>
              <w:left w:val="nil"/>
              <w:bottom w:val="nil"/>
              <w:right w:val="nil"/>
            </w:tcBorders>
            <w:shd w:fill="auto" w:val="clear"/>
            <w:vAlign w:val="center"/>
          </w:tcPr>
          <w:p>
            <w:pPr>
              <w:pStyle w:val="style0"/>
              <w:jc w:val="left"/>
              <w:rPr>
                <w:rFonts w:cs=""/>
                <w:sz w:val="20"/>
              </w:rPr>
            </w:pPr>
            <w:r>
              <w:rPr>
                <w:rFonts w:cs=""/>
                <w:sz w:val="20"/>
              </w:rPr>
              <w:t>Revised Task II</w:t>
            </w:r>
          </w:p>
        </w:tc>
        <w:tc>
          <w:tcPr>
            <w:tcW w:type="dxa" w:w="1551"/>
            <w:tcBorders>
              <w:top w:val="nil"/>
              <w:left w:val="nil"/>
              <w:bottom w:val="nil"/>
              <w:right w:color="000001" w:space="0" w:sz="8" w:val="single"/>
            </w:tcBorders>
            <w:shd w:fill="auto" w:val="clear"/>
            <w:vAlign w:val="center"/>
          </w:tcPr>
          <w:p>
            <w:pPr>
              <w:pStyle w:val="style0"/>
              <w:jc w:val="left"/>
              <w:rPr>
                <w:rFonts w:cs=""/>
                <w:sz w:val="20"/>
              </w:rPr>
            </w:pPr>
            <w:r>
              <w:rPr>
                <w:rFonts w:cs=""/>
                <w:sz w:val="20"/>
              </w:rPr>
              <w:t>1</w:t>
            </w:r>
          </w:p>
        </w:tc>
      </w:tr>
      <w:tr>
        <w:trPr>
          <w:cantSplit w:val="false"/>
        </w:trPr>
        <w:tc>
          <w:tcPr>
            <w:tcW w:type="dxa" w:w="3344"/>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Update 1950-2013 CAS, CAA, WAA (total and per fleet) using the current Task I, Task II and the current LW relationship.</w:t>
            </w:r>
          </w:p>
        </w:tc>
        <w:tc>
          <w:tcPr>
            <w:tcW w:type="dxa" w:w="1536"/>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Secretariat</w:t>
            </w:r>
          </w:p>
        </w:tc>
        <w:tc>
          <w:tcPr>
            <w:tcW w:type="dxa" w:w="1180"/>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July</w:t>
            </w:r>
          </w:p>
        </w:tc>
        <w:tc>
          <w:tcPr>
            <w:tcW w:type="dxa" w:w="1443"/>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CAS, CAA, WAA</w:t>
            </w:r>
          </w:p>
          <w:p>
            <w:pPr>
              <w:pStyle w:val="style0"/>
              <w:jc w:val="left"/>
              <w:rPr>
                <w:rFonts w:cs=""/>
                <w:sz w:val="20"/>
              </w:rPr>
            </w:pPr>
            <w:r>
              <w:rPr>
                <w:rFonts w:cs=""/>
                <w:sz w:val="20"/>
              </w:rPr>
              <w:t>updated</w:t>
            </w:r>
          </w:p>
        </w:tc>
        <w:tc>
          <w:tcPr>
            <w:tcW w:type="dxa" w:w="1551"/>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1</w:t>
            </w:r>
          </w:p>
        </w:tc>
      </w:tr>
      <w:tr>
        <w:trPr>
          <w:cantSplit w:val="false"/>
        </w:trPr>
        <w:tc>
          <w:tcPr>
            <w:tcW w:type="dxa" w:w="3344"/>
            <w:tcBorders>
              <w:top w:val="nil"/>
              <w:left w:color="000001" w:space="0" w:sz="8" w:val="single"/>
              <w:bottom w:color="00000A" w:space="0" w:sz="4" w:val="dashed"/>
              <w:right w:val="nil"/>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Prepare new 1950-2013 CAS, CAA, WAA (total and per fleet) using the revised Task I, Task II and the new LW relationship.</w:t>
            </w:r>
          </w:p>
        </w:tc>
        <w:tc>
          <w:tcPr>
            <w:tcW w:type="dxa" w:w="1536"/>
            <w:tcBorders>
              <w:top w:val="nil"/>
              <w:left w:val="nil"/>
              <w:bottom w:color="00000A" w:space="0" w:sz="4" w:val="dashed"/>
              <w:right w:val="nil"/>
            </w:tcBorders>
            <w:shd w:fill="auto" w:val="clear"/>
            <w:vAlign w:val="center"/>
          </w:tcPr>
          <w:p>
            <w:pPr>
              <w:pStyle w:val="style0"/>
              <w:jc w:val="left"/>
              <w:rPr>
                <w:rFonts w:ascii="Calibri" w:cs="" w:hAnsi="Calibri"/>
                <w:sz w:val="20"/>
              </w:rPr>
            </w:pPr>
            <w:r>
              <w:rPr>
                <w:rFonts w:ascii="Calibri" w:cs="" w:hAnsi="Calibri"/>
                <w:sz w:val="20"/>
              </w:rPr>
            </w:r>
          </w:p>
        </w:tc>
        <w:tc>
          <w:tcPr>
            <w:tcW w:type="dxa" w:w="1180"/>
            <w:tcBorders>
              <w:top w:val="nil"/>
              <w:left w:val="nil"/>
              <w:bottom w:color="00000A" w:space="0" w:sz="4" w:val="dashed"/>
              <w:right w:val="nil"/>
            </w:tcBorders>
            <w:shd w:fill="auto" w:val="clear"/>
            <w:vAlign w:val="center"/>
          </w:tcPr>
          <w:p>
            <w:pPr>
              <w:pStyle w:val="style0"/>
              <w:jc w:val="left"/>
              <w:rPr>
                <w:rFonts w:ascii="Calibri" w:cs="" w:hAnsi="Calibri"/>
                <w:sz w:val="20"/>
              </w:rPr>
            </w:pPr>
            <w:r>
              <w:rPr>
                <w:rFonts w:ascii="Calibri" w:cs="" w:hAnsi="Calibri"/>
                <w:sz w:val="20"/>
              </w:rPr>
            </w:r>
          </w:p>
        </w:tc>
        <w:tc>
          <w:tcPr>
            <w:tcW w:type="dxa" w:w="1443"/>
            <w:tcBorders>
              <w:top w:val="nil"/>
              <w:left w:val="nil"/>
              <w:bottom w:color="00000A" w:space="0" w:sz="4" w:val="dashed"/>
              <w:right w:val="nil"/>
            </w:tcBorders>
            <w:shd w:fill="auto" w:val="clear"/>
            <w:vAlign w:val="center"/>
          </w:tcPr>
          <w:p>
            <w:pPr>
              <w:pStyle w:val="style0"/>
              <w:jc w:val="left"/>
              <w:rPr>
                <w:rFonts w:ascii="Calibri" w:cs="" w:hAnsi="Calibri"/>
                <w:sz w:val="20"/>
              </w:rPr>
            </w:pPr>
            <w:r>
              <w:rPr>
                <w:rFonts w:ascii="Calibri" w:cs="" w:hAnsi="Calibri"/>
                <w:sz w:val="20"/>
              </w:rPr>
            </w:r>
          </w:p>
        </w:tc>
        <w:tc>
          <w:tcPr>
            <w:tcW w:type="dxa" w:w="1551"/>
            <w:tcBorders>
              <w:top w:val="nil"/>
              <w:left w:val="nil"/>
              <w:bottom w:color="00000A" w:space="0" w:sz="4" w:val="dashed"/>
              <w:right w:color="000001" w:space="0" w:sz="8" w:val="single"/>
            </w:tcBorders>
            <w:shd w:fill="auto" w:val="clear"/>
            <w:vAlign w:val="center"/>
          </w:tcPr>
          <w:p>
            <w:pPr>
              <w:pStyle w:val="style0"/>
              <w:jc w:val="left"/>
              <w:rPr>
                <w:rFonts w:cs=""/>
                <w:sz w:val="20"/>
              </w:rPr>
            </w:pPr>
            <w:r>
              <w:rPr>
                <w:rFonts w:cs=""/>
                <w:sz w:val="20"/>
              </w:rPr>
              <w:t>2</w:t>
            </w:r>
          </w:p>
        </w:tc>
      </w:tr>
      <w:tr>
        <w:trPr>
          <w:cantSplit w:val="false"/>
        </w:trPr>
        <w:tc>
          <w:tcPr>
            <w:tcW w:type="dxa" w:w="3344"/>
            <w:tcBorders>
              <w:top w:color="00000A" w:space="0" w:sz="4" w:val="dashed"/>
              <w:left w:color="000001" w:space="0" w:sz="8" w:val="single"/>
              <w:bottom w:color="00000A" w:space="0" w:sz="4" w:val="dashed"/>
              <w:right w:color="000001" w:space="0" w:sz="8" w:val="single"/>
            </w:tcBorders>
            <w:shd w:fill="auto" w:val="clear"/>
            <w:tcMar>
              <w:left w:type="dxa" w:w="107"/>
            </w:tcMar>
            <w:vAlign w:val="center"/>
          </w:tcPr>
          <w:p>
            <w:pPr>
              <w:pStyle w:val="style32"/>
              <w:numPr>
                <w:ilvl w:val="0"/>
                <w:numId w:val="2"/>
              </w:numPr>
              <w:spacing w:after="0" w:before="0" w:line="100" w:lineRule="atLeast"/>
              <w:contextualSpacing/>
              <w:jc w:val="left"/>
              <w:rPr>
                <w:rFonts w:ascii="Times New Roman" w:cs="" w:hAnsi="Times New Roman"/>
                <w:b w:val="false"/>
                <w:bCs/>
                <w:sz w:val="20"/>
                <w:szCs w:val="20"/>
              </w:rPr>
            </w:pPr>
            <w:r>
              <w:rPr>
                <w:rFonts w:ascii="Times New Roman" w:cs="" w:hAnsi="Times New Roman"/>
                <w:b w:val="false"/>
                <w:bCs/>
                <w:sz w:val="20"/>
                <w:szCs w:val="20"/>
              </w:rPr>
              <w:t>Redefine the procedure to calculate CAS, CAA, WAA</w:t>
            </w:r>
          </w:p>
        </w:tc>
        <w:tc>
          <w:tcPr>
            <w:tcW w:type="dxa" w:w="1536"/>
            <w:tcBorders>
              <w:top w:color="00000A" w:space="0" w:sz="4" w:val="dashed"/>
              <w:left w:color="000001" w:space="0" w:sz="8" w:val="single"/>
              <w:bottom w:color="00000A" w:space="0" w:sz="4" w:val="dashed"/>
              <w:right w:color="000001" w:space="0" w:sz="8" w:val="single"/>
            </w:tcBorders>
            <w:shd w:fill="auto" w:val="clear"/>
            <w:tcMar>
              <w:left w:type="dxa" w:w="107"/>
            </w:tcMar>
            <w:vAlign w:val="center"/>
          </w:tcPr>
          <w:p>
            <w:pPr>
              <w:pStyle w:val="style0"/>
              <w:jc w:val="left"/>
              <w:rPr>
                <w:rFonts w:cs=""/>
                <w:sz w:val="20"/>
              </w:rPr>
            </w:pPr>
            <w:r>
              <w:rPr>
                <w:rFonts w:cs=""/>
                <w:sz w:val="20"/>
              </w:rPr>
              <w:t>Data Prep. Meeting Group</w:t>
            </w:r>
          </w:p>
        </w:tc>
        <w:tc>
          <w:tcPr>
            <w:tcW w:type="dxa" w:w="1180"/>
            <w:tcBorders>
              <w:top w:color="00000A" w:space="0" w:sz="4" w:val="dashed"/>
              <w:left w:color="000001" w:space="0" w:sz="8" w:val="single"/>
              <w:bottom w:color="00000A" w:space="0" w:sz="4" w:val="dashed"/>
              <w:right w:color="000001" w:space="0" w:sz="8" w:val="single"/>
            </w:tcBorders>
            <w:shd w:fill="auto" w:val="clear"/>
            <w:tcMar>
              <w:left w:type="dxa" w:w="107"/>
            </w:tcMar>
            <w:vAlign w:val="center"/>
          </w:tcPr>
          <w:p>
            <w:pPr>
              <w:pStyle w:val="style0"/>
              <w:jc w:val="left"/>
              <w:rPr>
                <w:rFonts w:cs=""/>
                <w:sz w:val="20"/>
              </w:rPr>
            </w:pPr>
            <w:r>
              <w:rPr>
                <w:rFonts w:cs=""/>
                <w:sz w:val="20"/>
              </w:rPr>
              <w:t>Data Prep. meeting</w:t>
            </w:r>
          </w:p>
        </w:tc>
        <w:tc>
          <w:tcPr>
            <w:tcW w:type="dxa" w:w="1443"/>
            <w:tcBorders>
              <w:top w:color="00000A" w:space="0" w:sz="4" w:val="dashed"/>
              <w:left w:color="000001" w:space="0" w:sz="8" w:val="single"/>
              <w:bottom w:color="00000A" w:space="0" w:sz="4" w:val="dashed"/>
              <w:right w:color="000001" w:space="0" w:sz="8" w:val="single"/>
            </w:tcBorders>
            <w:shd w:fill="auto" w:val="clear"/>
            <w:tcMar>
              <w:left w:type="dxa" w:w="107"/>
            </w:tcMar>
            <w:vAlign w:val="center"/>
          </w:tcPr>
          <w:p>
            <w:pPr>
              <w:pStyle w:val="style0"/>
              <w:jc w:val="left"/>
              <w:rPr>
                <w:rFonts w:cs=""/>
                <w:sz w:val="20"/>
              </w:rPr>
            </w:pPr>
            <w:r>
              <w:rPr>
                <w:rFonts w:cs=""/>
                <w:sz w:val="20"/>
              </w:rPr>
              <w:t>Detailed procedure (in the report)</w:t>
            </w:r>
          </w:p>
        </w:tc>
        <w:tc>
          <w:tcPr>
            <w:tcW w:type="dxa" w:w="1551"/>
            <w:tcBorders>
              <w:top w:color="00000A" w:space="0" w:sz="4" w:val="dashed"/>
              <w:left w:color="000001" w:space="0" w:sz="8" w:val="single"/>
              <w:bottom w:color="00000A" w:space="0" w:sz="4" w:val="dashed"/>
              <w:right w:color="000001" w:space="0" w:sz="8" w:val="single"/>
            </w:tcBorders>
            <w:shd w:fill="auto" w:val="clear"/>
            <w:tcMar>
              <w:left w:type="dxa" w:w="107"/>
            </w:tcMar>
            <w:vAlign w:val="center"/>
          </w:tcPr>
          <w:p>
            <w:pPr>
              <w:pStyle w:val="style0"/>
              <w:jc w:val="left"/>
              <w:rPr>
                <w:rFonts w:ascii="Calibri" w:cs="" w:hAnsi="Calibri"/>
                <w:sz w:val="20"/>
              </w:rPr>
            </w:pPr>
            <w:r>
              <w:rPr>
                <w:rFonts w:ascii="Calibri" w:cs="" w:hAnsi="Calibri"/>
                <w:sz w:val="20"/>
              </w:rPr>
            </w:r>
          </w:p>
        </w:tc>
      </w:tr>
      <w:tr>
        <w:trPr>
          <w:cantSplit w:val="false"/>
        </w:trPr>
        <w:tc>
          <w:tcPr>
            <w:tcW w:type="dxa" w:w="3344"/>
            <w:tcBorders>
              <w:top w:color="00000A" w:space="0" w:sz="4" w:val="dashed"/>
              <w:left w:color="000001" w:space="0" w:sz="8" w:val="single"/>
              <w:bottom w:val="nil"/>
              <w:right w:val="nil"/>
            </w:tcBorders>
            <w:shd w:fill="auto" w:val="clear"/>
            <w:tcMar>
              <w:left w:type="dxa" w:w="107"/>
            </w:tcMar>
            <w:vAlign w:val="center"/>
          </w:tcPr>
          <w:p>
            <w:pPr>
              <w:pStyle w:val="style32"/>
              <w:numPr>
                <w:ilvl w:val="0"/>
                <w:numId w:val="2"/>
              </w:numPr>
              <w:spacing w:after="0" w:before="0" w:line="100" w:lineRule="atLeast"/>
              <w:contextualSpacing/>
              <w:jc w:val="left"/>
              <w:rPr>
                <w:rFonts w:ascii="Times New Roman" w:cs="" w:hAnsi="Times New Roman"/>
                <w:b w:val="false"/>
                <w:bCs/>
                <w:sz w:val="20"/>
                <w:szCs w:val="20"/>
              </w:rPr>
            </w:pPr>
            <w:r>
              <w:rPr>
                <w:rFonts w:ascii="Times New Roman" w:cs="" w:hAnsi="Times New Roman"/>
                <w:b w:val="false"/>
                <w:bCs/>
                <w:sz w:val="20"/>
                <w:szCs w:val="20"/>
              </w:rPr>
              <w:t>Prepare 1950-2013 CAS, CAA, WAA</w:t>
            </w:r>
          </w:p>
        </w:tc>
        <w:tc>
          <w:tcPr>
            <w:tcW w:type="dxa" w:w="1536"/>
            <w:tcBorders>
              <w:top w:color="00000A" w:space="0" w:sz="4" w:val="dashed"/>
              <w:left w:val="nil"/>
              <w:bottom w:val="nil"/>
              <w:right w:val="nil"/>
            </w:tcBorders>
            <w:shd w:fill="auto" w:val="clear"/>
            <w:vAlign w:val="center"/>
          </w:tcPr>
          <w:p>
            <w:pPr>
              <w:pStyle w:val="style0"/>
              <w:jc w:val="left"/>
              <w:rPr>
                <w:rFonts w:cs=""/>
                <w:sz w:val="20"/>
              </w:rPr>
            </w:pPr>
            <w:r>
              <w:rPr>
                <w:rFonts w:cs=""/>
                <w:sz w:val="20"/>
              </w:rPr>
              <w:t>Secretariat</w:t>
            </w:r>
          </w:p>
        </w:tc>
        <w:tc>
          <w:tcPr>
            <w:tcW w:type="dxa" w:w="1180"/>
            <w:tcBorders>
              <w:top w:color="00000A" w:space="0" w:sz="4" w:val="dashed"/>
              <w:left w:val="nil"/>
              <w:bottom w:val="nil"/>
              <w:right w:val="nil"/>
            </w:tcBorders>
            <w:shd w:fill="auto" w:val="clear"/>
            <w:vAlign w:val="center"/>
          </w:tcPr>
          <w:p>
            <w:pPr>
              <w:pStyle w:val="style0"/>
              <w:jc w:val="left"/>
              <w:rPr>
                <w:rFonts w:cs=""/>
                <w:sz w:val="20"/>
              </w:rPr>
            </w:pPr>
            <w:r>
              <w:rPr>
                <w:rFonts w:cs=""/>
                <w:sz w:val="20"/>
              </w:rPr>
              <w:t>July</w:t>
            </w:r>
          </w:p>
        </w:tc>
        <w:tc>
          <w:tcPr>
            <w:tcW w:type="dxa" w:w="1443"/>
            <w:tcBorders>
              <w:top w:color="00000A" w:space="0" w:sz="4" w:val="dashed"/>
              <w:left w:val="nil"/>
              <w:bottom w:val="nil"/>
              <w:right w:val="nil"/>
            </w:tcBorders>
            <w:shd w:fill="auto" w:val="clear"/>
            <w:vAlign w:val="center"/>
          </w:tcPr>
          <w:p>
            <w:pPr>
              <w:pStyle w:val="style0"/>
              <w:jc w:val="left"/>
              <w:rPr>
                <w:rFonts w:cs=""/>
                <w:sz w:val="20"/>
              </w:rPr>
            </w:pPr>
            <w:r>
              <w:rPr>
                <w:rFonts w:cs=""/>
                <w:sz w:val="20"/>
              </w:rPr>
              <w:t>CAS, CAA, WAA</w:t>
            </w:r>
          </w:p>
          <w:p>
            <w:pPr>
              <w:pStyle w:val="style0"/>
              <w:jc w:val="left"/>
              <w:rPr>
                <w:rFonts w:cs=""/>
                <w:sz w:val="20"/>
              </w:rPr>
            </w:pPr>
            <w:r>
              <w:rPr>
                <w:rFonts w:cs=""/>
                <w:sz w:val="20"/>
              </w:rPr>
              <w:t>Revised and SCRS document</w:t>
            </w:r>
          </w:p>
        </w:tc>
        <w:tc>
          <w:tcPr>
            <w:tcW w:type="dxa" w:w="1551"/>
            <w:tcBorders>
              <w:top w:color="00000A" w:space="0" w:sz="4" w:val="dashed"/>
              <w:left w:val="nil"/>
              <w:bottom w:val="nil"/>
              <w:right w:color="000001" w:space="0" w:sz="8" w:val="single"/>
            </w:tcBorders>
            <w:shd w:fill="auto" w:val="clear"/>
            <w:vAlign w:val="center"/>
          </w:tcPr>
          <w:p>
            <w:pPr>
              <w:pStyle w:val="style0"/>
              <w:jc w:val="left"/>
              <w:rPr>
                <w:rFonts w:ascii="Calibri" w:cs="" w:hAnsi="Calibri"/>
                <w:sz w:val="20"/>
              </w:rPr>
            </w:pPr>
            <w:r>
              <w:rPr>
                <w:rFonts w:ascii="Calibri" w:cs="" w:hAnsi="Calibri"/>
                <w:sz w:val="20"/>
              </w:rPr>
            </w:r>
          </w:p>
        </w:tc>
      </w:tr>
      <w:tr>
        <w:trPr>
          <w:cantSplit w:val="false"/>
        </w:trPr>
        <w:tc>
          <w:tcPr>
            <w:tcW w:type="dxa" w:w="3344"/>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Update fishery indicators. The Japanese CPUE will have to be split into two periods, before and after TAC implementation due to changes in spatial coverage of the fishery.</w:t>
            </w:r>
          </w:p>
        </w:tc>
        <w:tc>
          <w:tcPr>
            <w:tcW w:type="dxa" w:w="1536"/>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CPCs</w:t>
            </w:r>
          </w:p>
        </w:tc>
        <w:tc>
          <w:tcPr>
            <w:tcW w:type="dxa" w:w="1180"/>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Data Prep. meeting</w:t>
            </w:r>
          </w:p>
        </w:tc>
        <w:tc>
          <w:tcPr>
            <w:tcW w:type="dxa" w:w="1443"/>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SCRS documents following the standards provided by the WGSAM</w:t>
            </w:r>
          </w:p>
        </w:tc>
        <w:tc>
          <w:tcPr>
            <w:tcW w:type="dxa" w:w="1551"/>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1</w:t>
            </w:r>
          </w:p>
        </w:tc>
      </w:tr>
      <w:tr>
        <w:trPr>
          <w:cantSplit w:val="false"/>
        </w:trPr>
        <w:tc>
          <w:tcPr>
            <w:tcW w:type="dxa" w:w="3344"/>
            <w:tcBorders>
              <w:top w:val="nil"/>
              <w:left w:color="000001" w:space="0" w:sz="8" w:val="single"/>
              <w:bottom w:val="nil"/>
              <w:right w:val="nil"/>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Prepare a provisional CPUE evaluation table</w:t>
            </w:r>
          </w:p>
        </w:tc>
        <w:tc>
          <w:tcPr>
            <w:tcW w:type="dxa" w:w="1536"/>
            <w:tcBorders>
              <w:top w:val="nil"/>
              <w:left w:val="nil"/>
              <w:bottom w:val="nil"/>
              <w:right w:val="nil"/>
            </w:tcBorders>
            <w:shd w:fill="auto" w:val="clear"/>
            <w:vAlign w:val="center"/>
          </w:tcPr>
          <w:p>
            <w:pPr>
              <w:pStyle w:val="style0"/>
              <w:jc w:val="left"/>
              <w:rPr>
                <w:rFonts w:cs=""/>
                <w:sz w:val="20"/>
              </w:rPr>
            </w:pPr>
            <w:r>
              <w:rPr>
                <w:rFonts w:cs=""/>
                <w:sz w:val="20"/>
              </w:rPr>
              <w:t>Rappporteurs and national scientists</w:t>
            </w:r>
          </w:p>
        </w:tc>
        <w:tc>
          <w:tcPr>
            <w:tcW w:type="dxa" w:w="1180"/>
            <w:tcBorders>
              <w:top w:val="nil"/>
              <w:left w:val="nil"/>
              <w:bottom w:val="nil"/>
              <w:right w:val="nil"/>
            </w:tcBorders>
            <w:shd w:fill="auto" w:val="clear"/>
            <w:vAlign w:val="center"/>
          </w:tcPr>
          <w:p>
            <w:pPr>
              <w:pStyle w:val="style0"/>
              <w:jc w:val="left"/>
              <w:rPr>
                <w:rFonts w:cs=""/>
                <w:sz w:val="20"/>
              </w:rPr>
            </w:pPr>
            <w:r>
              <w:rPr>
                <w:rFonts w:cs=""/>
                <w:sz w:val="20"/>
              </w:rPr>
              <w:t>Prior to Data Prep. meeting</w:t>
            </w:r>
          </w:p>
        </w:tc>
        <w:tc>
          <w:tcPr>
            <w:tcW w:type="dxa" w:w="1443"/>
            <w:tcBorders>
              <w:top w:val="nil"/>
              <w:left w:val="nil"/>
              <w:bottom w:val="nil"/>
              <w:right w:val="nil"/>
            </w:tcBorders>
            <w:shd w:fill="auto" w:val="clear"/>
            <w:vAlign w:val="center"/>
          </w:tcPr>
          <w:p>
            <w:pPr>
              <w:pStyle w:val="style0"/>
              <w:jc w:val="left"/>
              <w:rPr>
                <w:rFonts w:cs=""/>
                <w:sz w:val="20"/>
              </w:rPr>
            </w:pPr>
            <w:r>
              <w:rPr>
                <w:rFonts w:cs=""/>
                <w:sz w:val="20"/>
              </w:rPr>
              <w:t>Provisional CPUE evaluation table</w:t>
            </w:r>
          </w:p>
        </w:tc>
        <w:tc>
          <w:tcPr>
            <w:tcW w:type="dxa" w:w="1551"/>
            <w:tcBorders>
              <w:top w:val="nil"/>
              <w:left w:val="nil"/>
              <w:bottom w:val="nil"/>
              <w:right w:color="000001" w:space="0" w:sz="8" w:val="single"/>
            </w:tcBorders>
            <w:shd w:fill="auto" w:val="clear"/>
            <w:vAlign w:val="center"/>
          </w:tcPr>
          <w:p>
            <w:pPr>
              <w:pStyle w:val="style0"/>
              <w:jc w:val="left"/>
              <w:rPr>
                <w:rFonts w:cs=""/>
                <w:sz w:val="20"/>
              </w:rPr>
            </w:pPr>
            <w:r>
              <w:rPr>
                <w:rFonts w:cs=""/>
                <w:sz w:val="20"/>
              </w:rPr>
              <w:t>1</w:t>
            </w:r>
          </w:p>
        </w:tc>
      </w:tr>
      <w:tr>
        <w:trPr>
          <w:cantSplit w:val="false"/>
        </w:trPr>
        <w:tc>
          <w:tcPr>
            <w:tcW w:type="dxa" w:w="3344"/>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Decide all inputs and specifications for the 2014 assessment and identify the evaluation team</w:t>
            </w:r>
          </w:p>
        </w:tc>
        <w:tc>
          <w:tcPr>
            <w:tcW w:type="dxa" w:w="1536"/>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Data Prep. Meeting Group</w:t>
            </w:r>
          </w:p>
        </w:tc>
        <w:tc>
          <w:tcPr>
            <w:tcW w:type="dxa" w:w="1180"/>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Data Prep. meeting</w:t>
            </w:r>
          </w:p>
        </w:tc>
        <w:tc>
          <w:tcPr>
            <w:tcW w:type="dxa" w:w="1443"/>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Section of the report</w:t>
            </w:r>
          </w:p>
        </w:tc>
        <w:tc>
          <w:tcPr>
            <w:tcW w:type="dxa" w:w="1551"/>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1</w:t>
            </w:r>
          </w:p>
        </w:tc>
      </w:tr>
      <w:tr>
        <w:trPr>
          <w:cantSplit w:val="false"/>
        </w:trPr>
        <w:tc>
          <w:tcPr>
            <w:tcW w:type="dxa" w:w="3344"/>
            <w:tcBorders>
              <w:top w:val="nil"/>
              <w:left w:color="000001" w:space="0" w:sz="8" w:val="single"/>
              <w:bottom w:val="nil"/>
              <w:right w:val="nil"/>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Develop a web app from the R-VPA2-BOX interface</w:t>
            </w:r>
          </w:p>
        </w:tc>
        <w:tc>
          <w:tcPr>
            <w:tcW w:type="dxa" w:w="1536"/>
            <w:tcBorders>
              <w:top w:val="nil"/>
              <w:left w:val="nil"/>
              <w:bottom w:val="nil"/>
              <w:right w:val="nil"/>
            </w:tcBorders>
            <w:shd w:fill="auto" w:val="clear"/>
            <w:vAlign w:val="center"/>
          </w:tcPr>
          <w:p>
            <w:pPr>
              <w:pStyle w:val="style0"/>
              <w:jc w:val="left"/>
              <w:rPr>
                <w:rFonts w:cs=""/>
                <w:sz w:val="20"/>
              </w:rPr>
            </w:pPr>
            <w:r>
              <w:rPr>
                <w:rFonts w:cs=""/>
                <w:sz w:val="20"/>
              </w:rPr>
              <w:t>Secretariat</w:t>
            </w:r>
          </w:p>
          <w:p>
            <w:pPr>
              <w:pStyle w:val="style0"/>
              <w:jc w:val="left"/>
              <w:rPr>
                <w:rFonts w:cs=""/>
                <w:sz w:val="20"/>
              </w:rPr>
            </w:pPr>
            <w:r>
              <w:rPr>
                <w:rFonts w:cs=""/>
                <w:sz w:val="20"/>
              </w:rPr>
              <w:t>BFT WG chairs</w:t>
            </w:r>
          </w:p>
        </w:tc>
        <w:tc>
          <w:tcPr>
            <w:tcW w:type="dxa" w:w="1180"/>
            <w:tcBorders>
              <w:top w:val="nil"/>
              <w:left w:val="nil"/>
              <w:bottom w:val="nil"/>
              <w:right w:val="nil"/>
            </w:tcBorders>
            <w:shd w:fill="auto" w:val="clear"/>
            <w:vAlign w:val="center"/>
          </w:tcPr>
          <w:p>
            <w:pPr>
              <w:pStyle w:val="style0"/>
              <w:jc w:val="left"/>
              <w:rPr>
                <w:rFonts w:cs=""/>
                <w:sz w:val="20"/>
              </w:rPr>
            </w:pPr>
            <w:r>
              <w:rPr>
                <w:rFonts w:cs=""/>
                <w:sz w:val="20"/>
              </w:rPr>
              <w:t>Data Prep. meeting</w:t>
            </w:r>
          </w:p>
        </w:tc>
        <w:tc>
          <w:tcPr>
            <w:tcW w:type="dxa" w:w="1443"/>
            <w:tcBorders>
              <w:top w:val="nil"/>
              <w:left w:val="nil"/>
              <w:bottom w:val="nil"/>
              <w:right w:val="nil"/>
            </w:tcBorders>
            <w:shd w:fill="auto" w:val="clear"/>
            <w:vAlign w:val="center"/>
          </w:tcPr>
          <w:p>
            <w:pPr>
              <w:pStyle w:val="style0"/>
              <w:jc w:val="left"/>
              <w:rPr>
                <w:rFonts w:cs=""/>
                <w:sz w:val="20"/>
              </w:rPr>
            </w:pPr>
            <w:r>
              <w:rPr>
                <w:rFonts w:cs=""/>
                <w:sz w:val="20"/>
              </w:rPr>
              <w:t>“</w:t>
            </w:r>
            <w:r>
              <w:rPr>
                <w:rFonts w:cs=""/>
                <w:sz w:val="20"/>
              </w:rPr>
              <w:t>friendly” web app</w:t>
            </w:r>
          </w:p>
        </w:tc>
        <w:tc>
          <w:tcPr>
            <w:tcW w:type="dxa" w:w="1551"/>
            <w:tcBorders>
              <w:top w:val="nil"/>
              <w:left w:val="nil"/>
              <w:bottom w:val="nil"/>
              <w:right w:color="000001" w:space="0" w:sz="8" w:val="single"/>
            </w:tcBorders>
            <w:shd w:fill="auto" w:val="clear"/>
            <w:vAlign w:val="center"/>
          </w:tcPr>
          <w:p>
            <w:pPr>
              <w:pStyle w:val="style0"/>
              <w:jc w:val="left"/>
              <w:rPr>
                <w:rFonts w:cs=""/>
                <w:sz w:val="20"/>
              </w:rPr>
            </w:pPr>
            <w:r>
              <w:rPr>
                <w:rFonts w:cs=""/>
                <w:sz w:val="20"/>
              </w:rPr>
              <w:t>4</w:t>
            </w:r>
          </w:p>
        </w:tc>
      </w:tr>
      <w:tr>
        <w:trPr>
          <w:cantSplit w:val="false"/>
        </w:trPr>
        <w:tc>
          <w:tcPr>
            <w:tcW w:type="dxa" w:w="3344"/>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Conduct  a pilot update of the 2012 stock assessments of East and West stocks (CAS, CAA, WAA: current updated 1950-2013)</w:t>
            </w:r>
          </w:p>
        </w:tc>
        <w:tc>
          <w:tcPr>
            <w:tcW w:type="dxa" w:w="1536"/>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BFT WG chairs and volunteer scientists</w:t>
            </w:r>
          </w:p>
        </w:tc>
        <w:tc>
          <w:tcPr>
            <w:tcW w:type="dxa" w:w="1180"/>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August</w:t>
            </w:r>
          </w:p>
        </w:tc>
        <w:tc>
          <w:tcPr>
            <w:tcW w:type="dxa" w:w="1443"/>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Detailed reports as SCRS documents</w:t>
            </w:r>
          </w:p>
        </w:tc>
        <w:tc>
          <w:tcPr>
            <w:tcW w:type="dxa" w:w="1551"/>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1</w:t>
            </w:r>
          </w:p>
        </w:tc>
      </w:tr>
      <w:tr>
        <w:trPr>
          <w:cantSplit w:val="false"/>
        </w:trPr>
        <w:tc>
          <w:tcPr>
            <w:tcW w:type="dxa" w:w="3344"/>
            <w:tcBorders>
              <w:top w:val="nil"/>
              <w:left w:color="000001" w:space="0" w:sz="8" w:val="single"/>
              <w:bottom w:val="nil"/>
              <w:right w:val="nil"/>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Conduct a pilot preliminary new assessment of the Eastern stock (CAS, CAA, WAA: new revised 1950-2013)</w:t>
            </w:r>
          </w:p>
        </w:tc>
        <w:tc>
          <w:tcPr>
            <w:tcW w:type="dxa" w:w="1536"/>
            <w:tcBorders>
              <w:top w:val="nil"/>
              <w:left w:val="nil"/>
              <w:bottom w:val="nil"/>
              <w:right w:val="nil"/>
            </w:tcBorders>
            <w:shd w:fill="auto" w:val="clear"/>
            <w:vAlign w:val="center"/>
          </w:tcPr>
          <w:p>
            <w:pPr>
              <w:pStyle w:val="style0"/>
              <w:jc w:val="left"/>
              <w:rPr>
                <w:rFonts w:cs=""/>
                <w:sz w:val="20"/>
              </w:rPr>
            </w:pPr>
            <w:r>
              <w:rPr>
                <w:rFonts w:cs=""/>
                <w:sz w:val="20"/>
              </w:rPr>
              <w:t>BFT WG chairs and volunteer scientists</w:t>
            </w:r>
          </w:p>
        </w:tc>
        <w:tc>
          <w:tcPr>
            <w:tcW w:type="dxa" w:w="1180"/>
            <w:tcBorders>
              <w:top w:val="nil"/>
              <w:left w:val="nil"/>
              <w:bottom w:val="nil"/>
              <w:right w:val="nil"/>
            </w:tcBorders>
            <w:shd w:fill="auto" w:val="clear"/>
            <w:vAlign w:val="center"/>
          </w:tcPr>
          <w:p>
            <w:pPr>
              <w:pStyle w:val="style0"/>
              <w:jc w:val="left"/>
              <w:rPr>
                <w:rFonts w:cs=""/>
                <w:sz w:val="20"/>
              </w:rPr>
            </w:pPr>
            <w:r>
              <w:rPr>
                <w:rFonts w:cs=""/>
                <w:sz w:val="20"/>
              </w:rPr>
              <w:t>August</w:t>
            </w:r>
          </w:p>
        </w:tc>
        <w:tc>
          <w:tcPr>
            <w:tcW w:type="dxa" w:w="1443"/>
            <w:tcBorders>
              <w:top w:val="nil"/>
              <w:left w:val="nil"/>
              <w:bottom w:val="nil"/>
              <w:right w:val="nil"/>
            </w:tcBorders>
            <w:shd w:fill="auto" w:val="clear"/>
            <w:vAlign w:val="center"/>
          </w:tcPr>
          <w:p>
            <w:pPr>
              <w:pStyle w:val="style0"/>
              <w:jc w:val="left"/>
              <w:rPr>
                <w:rFonts w:cs=""/>
                <w:sz w:val="20"/>
              </w:rPr>
            </w:pPr>
            <w:r>
              <w:rPr>
                <w:rFonts w:cs=""/>
                <w:sz w:val="20"/>
              </w:rPr>
              <w:t>Detailed report as SCRS document</w:t>
            </w:r>
          </w:p>
        </w:tc>
        <w:tc>
          <w:tcPr>
            <w:tcW w:type="dxa" w:w="1551"/>
            <w:tcBorders>
              <w:top w:val="nil"/>
              <w:left w:val="nil"/>
              <w:bottom w:val="nil"/>
              <w:right w:color="000001" w:space="0" w:sz="8" w:val="single"/>
            </w:tcBorders>
            <w:shd w:fill="auto" w:val="clear"/>
            <w:vAlign w:val="center"/>
          </w:tcPr>
          <w:p>
            <w:pPr>
              <w:pStyle w:val="style0"/>
              <w:jc w:val="left"/>
              <w:rPr>
                <w:rFonts w:cs=""/>
                <w:sz w:val="20"/>
              </w:rPr>
            </w:pPr>
            <w:r>
              <w:rPr>
                <w:rFonts w:cs=""/>
                <w:sz w:val="20"/>
              </w:rPr>
              <w:t>3</w:t>
            </w:r>
          </w:p>
        </w:tc>
      </w:tr>
      <w:tr>
        <w:trPr>
          <w:cantSplit w:val="false"/>
        </w:trPr>
        <w:tc>
          <w:tcPr>
            <w:tcW w:type="dxa" w:w="3344"/>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Review the pilot updated assessments of East and West stocks and the pilot preliminary new assessment of Eastern stock</w:t>
            </w:r>
          </w:p>
        </w:tc>
        <w:tc>
          <w:tcPr>
            <w:tcW w:type="dxa" w:w="1536"/>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CPCs</w:t>
            </w:r>
          </w:p>
        </w:tc>
        <w:tc>
          <w:tcPr>
            <w:tcW w:type="dxa" w:w="1180"/>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September</w:t>
            </w:r>
          </w:p>
        </w:tc>
        <w:tc>
          <w:tcPr>
            <w:tcW w:type="dxa" w:w="1443"/>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ascii="Calibri" w:cs="" w:hAnsi="Calibri"/>
                <w:sz w:val="20"/>
              </w:rPr>
            </w:pPr>
            <w:r>
              <w:rPr>
                <w:rFonts w:ascii="Calibri" w:cs="" w:hAnsi="Calibri"/>
                <w:sz w:val="20"/>
              </w:rPr>
            </w:r>
          </w:p>
        </w:tc>
        <w:tc>
          <w:tcPr>
            <w:tcW w:type="dxa" w:w="1551"/>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1/2</w:t>
            </w:r>
          </w:p>
        </w:tc>
      </w:tr>
      <w:tr>
        <w:trPr>
          <w:cantSplit w:val="false"/>
        </w:trPr>
        <w:tc>
          <w:tcPr>
            <w:tcW w:type="dxa" w:w="3344"/>
            <w:tcBorders>
              <w:top w:val="nil"/>
              <w:left w:color="000001" w:space="0" w:sz="8" w:val="single"/>
              <w:bottom w:val="nil"/>
              <w:right w:val="nil"/>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Conduct final updated assessments (East and West) and the final preliminary new assessment (East)</w:t>
            </w:r>
          </w:p>
        </w:tc>
        <w:tc>
          <w:tcPr>
            <w:tcW w:type="dxa" w:w="1536"/>
            <w:tcBorders>
              <w:top w:val="nil"/>
              <w:left w:val="nil"/>
              <w:bottom w:val="nil"/>
              <w:right w:val="nil"/>
            </w:tcBorders>
            <w:shd w:fill="auto" w:val="clear"/>
            <w:vAlign w:val="center"/>
          </w:tcPr>
          <w:p>
            <w:pPr>
              <w:pStyle w:val="style0"/>
              <w:jc w:val="left"/>
              <w:rPr>
                <w:rFonts w:cs=""/>
                <w:sz w:val="20"/>
              </w:rPr>
            </w:pPr>
            <w:r>
              <w:rPr>
                <w:rFonts w:cs=""/>
                <w:sz w:val="20"/>
              </w:rPr>
              <w:t>Spp. Group</w:t>
            </w:r>
          </w:p>
        </w:tc>
        <w:tc>
          <w:tcPr>
            <w:tcW w:type="dxa" w:w="1180"/>
            <w:tcBorders>
              <w:top w:val="nil"/>
              <w:left w:val="nil"/>
              <w:bottom w:val="nil"/>
              <w:right w:val="nil"/>
            </w:tcBorders>
            <w:shd w:fill="auto" w:val="clear"/>
            <w:vAlign w:val="center"/>
          </w:tcPr>
          <w:p>
            <w:pPr>
              <w:pStyle w:val="style0"/>
              <w:jc w:val="left"/>
              <w:rPr>
                <w:rFonts w:cs=""/>
                <w:sz w:val="20"/>
              </w:rPr>
            </w:pPr>
            <w:r>
              <w:rPr>
                <w:rFonts w:cs=""/>
                <w:sz w:val="20"/>
              </w:rPr>
              <w:t>Spp. Group meeting</w:t>
            </w:r>
          </w:p>
        </w:tc>
        <w:tc>
          <w:tcPr>
            <w:tcW w:type="dxa" w:w="1443"/>
            <w:tcBorders>
              <w:top w:val="nil"/>
              <w:left w:val="nil"/>
              <w:bottom w:val="nil"/>
              <w:right w:val="nil"/>
            </w:tcBorders>
            <w:shd w:fill="auto" w:val="clear"/>
            <w:vAlign w:val="center"/>
          </w:tcPr>
          <w:p>
            <w:pPr>
              <w:pStyle w:val="style0"/>
              <w:jc w:val="left"/>
              <w:rPr>
                <w:rFonts w:cs=""/>
                <w:sz w:val="20"/>
              </w:rPr>
            </w:pPr>
            <w:r>
              <w:rPr>
                <w:rFonts w:cs=""/>
                <w:sz w:val="20"/>
              </w:rPr>
              <w:t>Executive Summary</w:t>
            </w:r>
          </w:p>
          <w:p>
            <w:pPr>
              <w:pStyle w:val="style0"/>
              <w:jc w:val="left"/>
              <w:rPr>
                <w:rFonts w:cs=""/>
                <w:sz w:val="20"/>
              </w:rPr>
            </w:pPr>
            <w:r>
              <w:rPr>
                <w:rFonts w:cs=""/>
                <w:sz w:val="20"/>
              </w:rPr>
              <w:t>Detailed reports as SCRS doc (updated)</w:t>
            </w:r>
          </w:p>
        </w:tc>
        <w:tc>
          <w:tcPr>
            <w:tcW w:type="dxa" w:w="1551"/>
            <w:tcBorders>
              <w:top w:val="nil"/>
              <w:left w:val="nil"/>
              <w:bottom w:val="nil"/>
              <w:right w:color="000001" w:space="0" w:sz="8" w:val="single"/>
            </w:tcBorders>
            <w:shd w:fill="auto" w:val="clear"/>
            <w:vAlign w:val="center"/>
          </w:tcPr>
          <w:p>
            <w:pPr>
              <w:pStyle w:val="style0"/>
              <w:jc w:val="left"/>
              <w:rPr>
                <w:rFonts w:cs=""/>
                <w:sz w:val="20"/>
              </w:rPr>
            </w:pPr>
            <w:r>
              <w:rPr>
                <w:rFonts w:cs=""/>
                <w:sz w:val="20"/>
              </w:rPr>
              <w:t>1/2</w:t>
            </w:r>
          </w:p>
        </w:tc>
      </w:tr>
      <w:tr>
        <w:trPr>
          <w:cantSplit w:val="false"/>
        </w:trPr>
        <w:tc>
          <w:tcPr>
            <w:tcW w:type="dxa" w:w="3344"/>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Develop updated growth tables (COM request)</w:t>
            </w:r>
          </w:p>
        </w:tc>
        <w:tc>
          <w:tcPr>
            <w:tcW w:type="dxa" w:w="1536"/>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Data Prep. Meeting Group</w:t>
            </w:r>
          </w:p>
        </w:tc>
        <w:tc>
          <w:tcPr>
            <w:tcW w:type="dxa" w:w="1180"/>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Data Prep. meeting</w:t>
            </w:r>
          </w:p>
        </w:tc>
        <w:tc>
          <w:tcPr>
            <w:tcW w:type="dxa" w:w="1443"/>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Section of the report</w:t>
            </w:r>
          </w:p>
        </w:tc>
        <w:tc>
          <w:tcPr>
            <w:tcW w:type="dxa" w:w="1551"/>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2</w:t>
            </w:r>
          </w:p>
        </w:tc>
      </w:tr>
      <w:tr>
        <w:trPr>
          <w:cantSplit w:val="false"/>
        </w:trPr>
        <w:tc>
          <w:tcPr>
            <w:tcW w:type="dxa" w:w="3344"/>
            <w:tcBorders>
              <w:top w:val="nil"/>
              <w:left w:color="000001" w:space="0" w:sz="8" w:val="single"/>
              <w:bottom w:val="nil"/>
              <w:right w:val="nil"/>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Evaluate the program of 100% coverage with stereoscopical cameras (COM request)</w:t>
            </w:r>
          </w:p>
        </w:tc>
        <w:tc>
          <w:tcPr>
            <w:tcW w:type="dxa" w:w="1536"/>
            <w:tcBorders>
              <w:top w:val="nil"/>
              <w:left w:val="nil"/>
              <w:bottom w:val="nil"/>
              <w:right w:val="nil"/>
            </w:tcBorders>
            <w:shd w:fill="auto" w:val="clear"/>
            <w:vAlign w:val="center"/>
          </w:tcPr>
          <w:p>
            <w:pPr>
              <w:pStyle w:val="style0"/>
              <w:jc w:val="left"/>
              <w:rPr>
                <w:rFonts w:cs=""/>
                <w:sz w:val="20"/>
              </w:rPr>
            </w:pPr>
            <w:r>
              <w:rPr>
                <w:rFonts w:cs=""/>
                <w:sz w:val="20"/>
              </w:rPr>
              <w:t>CPCs</w:t>
            </w:r>
          </w:p>
        </w:tc>
        <w:tc>
          <w:tcPr>
            <w:tcW w:type="dxa" w:w="1180"/>
            <w:tcBorders>
              <w:top w:val="nil"/>
              <w:left w:val="nil"/>
              <w:bottom w:val="nil"/>
              <w:right w:val="nil"/>
            </w:tcBorders>
            <w:shd w:fill="auto" w:val="clear"/>
            <w:vAlign w:val="center"/>
          </w:tcPr>
          <w:p>
            <w:pPr>
              <w:pStyle w:val="style0"/>
              <w:jc w:val="left"/>
              <w:rPr>
                <w:rFonts w:cs=""/>
                <w:sz w:val="20"/>
              </w:rPr>
            </w:pPr>
            <w:r>
              <w:rPr>
                <w:rFonts w:cs=""/>
                <w:sz w:val="20"/>
              </w:rPr>
              <w:t>Spp. Group meeting</w:t>
            </w:r>
          </w:p>
        </w:tc>
        <w:tc>
          <w:tcPr>
            <w:tcW w:type="dxa" w:w="1443"/>
            <w:tcBorders>
              <w:top w:val="nil"/>
              <w:left w:val="nil"/>
              <w:bottom w:val="nil"/>
              <w:right w:val="nil"/>
            </w:tcBorders>
            <w:shd w:fill="auto" w:val="clear"/>
            <w:vAlign w:val="center"/>
          </w:tcPr>
          <w:p>
            <w:pPr>
              <w:pStyle w:val="style0"/>
              <w:jc w:val="left"/>
              <w:rPr>
                <w:rFonts w:cs=""/>
                <w:sz w:val="20"/>
              </w:rPr>
            </w:pPr>
            <w:r>
              <w:rPr>
                <w:rFonts w:cs=""/>
                <w:sz w:val="20"/>
              </w:rPr>
              <w:t>Section of the report</w:t>
            </w:r>
          </w:p>
        </w:tc>
        <w:tc>
          <w:tcPr>
            <w:tcW w:type="dxa" w:w="1551"/>
            <w:tcBorders>
              <w:top w:val="nil"/>
              <w:left w:val="nil"/>
              <w:bottom w:val="nil"/>
              <w:right w:color="000001" w:space="0" w:sz="8" w:val="single"/>
            </w:tcBorders>
            <w:shd w:fill="auto" w:val="clear"/>
            <w:vAlign w:val="center"/>
          </w:tcPr>
          <w:p>
            <w:pPr>
              <w:pStyle w:val="style0"/>
              <w:jc w:val="left"/>
              <w:rPr>
                <w:rFonts w:cs=""/>
                <w:sz w:val="20"/>
              </w:rPr>
            </w:pPr>
            <w:r>
              <w:rPr>
                <w:rFonts w:cs=""/>
                <w:sz w:val="20"/>
              </w:rPr>
              <w:t>2</w:t>
            </w:r>
          </w:p>
        </w:tc>
      </w:tr>
      <w:tr>
        <w:trPr>
          <w:cantSplit w:val="false"/>
        </w:trPr>
        <w:tc>
          <w:tcPr>
            <w:tcW w:type="dxa" w:w="3344"/>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Answer questions by the EU to the SCRS [PA2-615] (attached as Appendix 4 to ANNEX 9) (COM request)</w:t>
            </w:r>
          </w:p>
        </w:tc>
        <w:tc>
          <w:tcPr>
            <w:tcW w:type="dxa" w:w="1536"/>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Spp. Group</w:t>
            </w:r>
          </w:p>
        </w:tc>
        <w:tc>
          <w:tcPr>
            <w:tcW w:type="dxa" w:w="1180"/>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Spp. Group meeting</w:t>
            </w:r>
          </w:p>
        </w:tc>
        <w:tc>
          <w:tcPr>
            <w:tcW w:type="dxa" w:w="1443"/>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Section of the report</w:t>
            </w:r>
          </w:p>
        </w:tc>
        <w:tc>
          <w:tcPr>
            <w:tcW w:type="dxa" w:w="1551"/>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2</w:t>
            </w:r>
          </w:p>
        </w:tc>
      </w:tr>
      <w:tr>
        <w:trPr>
          <w:cantSplit w:val="false"/>
        </w:trPr>
        <w:tc>
          <w:tcPr>
            <w:tcW w:type="dxa" w:w="3344"/>
            <w:tcBorders>
              <w:top w:val="nil"/>
              <w:left w:color="000001" w:space="0" w:sz="8" w:val="single"/>
              <w:bottom w:val="nil"/>
              <w:right w:val="nil"/>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Review tagging past and recent data for BFT</w:t>
            </w:r>
          </w:p>
        </w:tc>
        <w:tc>
          <w:tcPr>
            <w:tcW w:type="dxa" w:w="1536"/>
            <w:tcBorders>
              <w:top w:val="nil"/>
              <w:left w:val="nil"/>
              <w:bottom w:val="nil"/>
              <w:right w:val="nil"/>
            </w:tcBorders>
            <w:shd w:fill="auto" w:val="clear"/>
            <w:vAlign w:val="center"/>
          </w:tcPr>
          <w:p>
            <w:pPr>
              <w:pStyle w:val="style0"/>
              <w:jc w:val="left"/>
              <w:rPr>
                <w:rFonts w:cs=""/>
                <w:sz w:val="20"/>
              </w:rPr>
            </w:pPr>
            <w:r>
              <w:rPr>
                <w:rFonts w:cs=""/>
                <w:sz w:val="20"/>
              </w:rPr>
              <w:t>Secretariat</w:t>
            </w:r>
          </w:p>
          <w:p>
            <w:pPr>
              <w:pStyle w:val="style0"/>
              <w:jc w:val="left"/>
              <w:rPr>
                <w:rFonts w:cs=""/>
                <w:sz w:val="20"/>
              </w:rPr>
            </w:pPr>
            <w:r>
              <w:rPr>
                <w:rFonts w:cs=""/>
                <w:sz w:val="20"/>
              </w:rPr>
              <w:t>CPCs</w:t>
            </w:r>
          </w:p>
        </w:tc>
        <w:tc>
          <w:tcPr>
            <w:tcW w:type="dxa" w:w="1180"/>
            <w:tcBorders>
              <w:top w:val="nil"/>
              <w:left w:val="nil"/>
              <w:bottom w:val="nil"/>
              <w:right w:val="nil"/>
            </w:tcBorders>
            <w:shd w:fill="auto" w:val="clear"/>
            <w:vAlign w:val="center"/>
          </w:tcPr>
          <w:p>
            <w:pPr>
              <w:pStyle w:val="style0"/>
              <w:jc w:val="left"/>
              <w:rPr>
                <w:rFonts w:cs=""/>
                <w:sz w:val="20"/>
              </w:rPr>
            </w:pPr>
            <w:r>
              <w:rPr>
                <w:rFonts w:cs=""/>
                <w:sz w:val="20"/>
              </w:rPr>
              <w:t>Data Prep. meeting</w:t>
            </w:r>
          </w:p>
        </w:tc>
        <w:tc>
          <w:tcPr>
            <w:tcW w:type="dxa" w:w="1443"/>
            <w:tcBorders>
              <w:top w:val="nil"/>
              <w:left w:val="nil"/>
              <w:bottom w:val="nil"/>
              <w:right w:val="nil"/>
            </w:tcBorders>
            <w:shd w:fill="auto" w:val="clear"/>
            <w:vAlign w:val="center"/>
          </w:tcPr>
          <w:p>
            <w:pPr>
              <w:pStyle w:val="style0"/>
              <w:jc w:val="left"/>
              <w:rPr>
                <w:rFonts w:cs=""/>
                <w:sz w:val="20"/>
              </w:rPr>
            </w:pPr>
            <w:r>
              <w:rPr>
                <w:rFonts w:cs=""/>
                <w:sz w:val="20"/>
              </w:rPr>
              <w:t>SCRS documents</w:t>
            </w:r>
          </w:p>
        </w:tc>
        <w:tc>
          <w:tcPr>
            <w:tcW w:type="dxa" w:w="1551"/>
            <w:tcBorders>
              <w:top w:val="nil"/>
              <w:left w:val="nil"/>
              <w:bottom w:val="nil"/>
              <w:right w:color="000001" w:space="0" w:sz="8" w:val="single"/>
            </w:tcBorders>
            <w:shd w:fill="auto" w:val="clear"/>
            <w:vAlign w:val="center"/>
          </w:tcPr>
          <w:p>
            <w:pPr>
              <w:pStyle w:val="style0"/>
              <w:jc w:val="left"/>
              <w:rPr>
                <w:rFonts w:cs=""/>
                <w:sz w:val="20"/>
              </w:rPr>
            </w:pPr>
            <w:r>
              <w:rPr>
                <w:rFonts w:cs=""/>
                <w:sz w:val="20"/>
              </w:rPr>
              <w:t>4</w:t>
            </w:r>
          </w:p>
        </w:tc>
      </w:tr>
      <w:tr>
        <w:trPr>
          <w:cantSplit w:val="false"/>
        </w:trPr>
        <w:tc>
          <w:tcPr>
            <w:tcW w:type="dxa" w:w="3344"/>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ascii="Calibri" w:cs="" w:hAnsi="Calibri"/>
                <w:b/>
                <w:bCs/>
                <w:sz w:val="20"/>
              </w:rPr>
            </w:pPr>
            <w:r>
              <w:rPr>
                <w:rFonts w:ascii="Calibri" w:cs="" w:hAnsi="Calibri"/>
                <w:b/>
                <w:bCs/>
                <w:sz w:val="20"/>
              </w:rPr>
              <w:t>Complete tasks from the 2013 Biological Parameters meeting (age-length relationships, morphometric conversions, M, reproduction,..)</w:t>
            </w:r>
          </w:p>
        </w:tc>
        <w:tc>
          <w:tcPr>
            <w:tcW w:type="dxa" w:w="1536"/>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CPCs</w:t>
            </w:r>
          </w:p>
        </w:tc>
        <w:tc>
          <w:tcPr>
            <w:tcW w:type="dxa" w:w="1180"/>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Data Prep. meeting</w:t>
            </w:r>
          </w:p>
        </w:tc>
        <w:tc>
          <w:tcPr>
            <w:tcW w:type="dxa" w:w="1443"/>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SCRS documents</w:t>
            </w:r>
          </w:p>
        </w:tc>
        <w:tc>
          <w:tcPr>
            <w:tcW w:type="dxa" w:w="1551"/>
            <w:tcBorders>
              <w:top w:color="000001" w:space="0" w:sz="8" w:val="single"/>
              <w:left w:color="000001" w:space="0" w:sz="8" w:val="single"/>
              <w:bottom w:color="000001" w:space="0" w:sz="8" w:val="single"/>
              <w:right w:color="000001" w:space="0" w:sz="8" w:val="single"/>
            </w:tcBorders>
            <w:shd w:fill="auto" w:val="clear"/>
            <w:tcMar>
              <w:left w:type="dxa" w:w="107"/>
            </w:tcMar>
            <w:vAlign w:val="center"/>
          </w:tcPr>
          <w:p>
            <w:pPr>
              <w:pStyle w:val="style0"/>
              <w:jc w:val="left"/>
              <w:rPr>
                <w:rFonts w:cs=""/>
                <w:sz w:val="20"/>
              </w:rPr>
            </w:pPr>
            <w:r>
              <w:rPr>
                <w:rFonts w:cs=""/>
                <w:sz w:val="20"/>
              </w:rPr>
              <w:t>2</w:t>
            </w:r>
          </w:p>
        </w:tc>
      </w:tr>
    </w:tbl>
    <w:p>
      <w:pPr>
        <w:pStyle w:val="style0"/>
        <w:rPr/>
      </w:pPr>
      <w:r>
        <w:rPr/>
      </w:r>
    </w:p>
    <w:p>
      <w:pPr>
        <w:pStyle w:val="style0"/>
        <w:rPr/>
      </w:pPr>
      <w:r>
        <w:rPr/>
      </w:r>
    </w:p>
    <w:p>
      <w:pPr>
        <w:pStyle w:val="style0"/>
        <w:rPr/>
      </w:pPr>
      <w:r>
        <w:rPr/>
      </w:r>
    </w:p>
    <w:p>
      <w:pPr>
        <w:pStyle w:val="style0"/>
        <w:spacing w:after="120" w:before="0"/>
        <w:contextualSpacing w:val="false"/>
        <w:jc w:val="both"/>
        <w:rPr>
          <w:b/>
          <w:bCs/>
          <w:szCs w:val="18"/>
        </w:rPr>
      </w:pPr>
      <w:r>
        <w:rPr>
          <w:b/>
          <w:bCs/>
          <w:szCs w:val="18"/>
        </w:rPr>
      </w:r>
    </w:p>
    <w:p>
      <w:pPr>
        <w:pStyle w:val="style0"/>
        <w:spacing w:line="200" w:lineRule="exact"/>
        <w:jc w:val="both"/>
        <w:rPr/>
      </w:pPr>
      <w:r>
        <w:rPr/>
      </w:r>
    </w:p>
    <w:p>
      <w:pPr>
        <w:pStyle w:val="style0"/>
        <w:spacing w:after="120" w:before="0"/>
        <w:contextualSpacing w:val="false"/>
        <w:rPr>
          <w:b/>
          <w:bCs/>
          <w:szCs w:val="18"/>
        </w:rPr>
      </w:pPr>
      <w:r>
        <w:rPr>
          <w:b/>
          <w:bCs/>
          <w:szCs w:val="18"/>
        </w:rPr>
      </w:r>
    </w:p>
    <w:p>
      <w:pPr>
        <w:pStyle w:val="style0"/>
        <w:pageBreakBefore/>
        <w:spacing w:after="120" w:before="0"/>
        <w:contextualSpacing w:val="false"/>
        <w:jc w:val="right"/>
        <w:rPr>
          <w:b/>
          <w:bCs/>
          <w:szCs w:val="18"/>
        </w:rPr>
      </w:pPr>
      <w:r>
        <w:rPr>
          <w:b/>
          <w:bCs/>
          <w:szCs w:val="18"/>
        </w:rPr>
        <w:t>ANNEX 2</w:t>
      </w:r>
    </w:p>
    <w:p>
      <w:pPr>
        <w:pStyle w:val="style0"/>
        <w:jc w:val="center"/>
        <w:rPr>
          <w:b/>
        </w:rPr>
      </w:pPr>
      <w:r>
        <w:rPr>
          <w:b/>
        </w:rPr>
      </w:r>
    </w:p>
    <w:p>
      <w:pPr>
        <w:pStyle w:val="style0"/>
        <w:jc w:val="center"/>
        <w:rPr>
          <w:b/>
          <w:lang w:val="en-GB"/>
        </w:rPr>
      </w:pPr>
      <w:r>
        <w:rPr>
          <w:b/>
        </w:rPr>
        <w:t xml:space="preserve">Working Group on Stock Assessment Methods Instructions for Authors Describing the Information Required to Facilitate the Appropriate Construction </w:t>
      </w:r>
      <w:r>
        <w:rPr>
          <w:b/>
          <w:lang w:val="en-GB"/>
        </w:rPr>
        <w:t>and Evaluation of CPUE Series</w:t>
      </w:r>
    </w:p>
    <w:p>
      <w:pPr>
        <w:pStyle w:val="style0"/>
        <w:tabs>
          <w:tab w:leader="none" w:pos="284" w:val="left"/>
          <w:tab w:leader="none" w:pos="567" w:val="left"/>
          <w:tab w:leader="none" w:pos="993" w:val="left"/>
        </w:tabs>
        <w:rPr>
          <w:b/>
          <w:bCs/>
          <w:lang w:val="en-GB"/>
        </w:rPr>
      </w:pPr>
      <w:r>
        <w:rPr>
          <w:b/>
          <w:bCs/>
          <w:lang w:val="en-GB"/>
        </w:rPr>
      </w:r>
    </w:p>
    <w:p>
      <w:pPr>
        <w:pStyle w:val="style0"/>
        <w:tabs>
          <w:tab w:leader="none" w:pos="284" w:val="left"/>
          <w:tab w:leader="none" w:pos="567" w:val="left"/>
          <w:tab w:leader="none" w:pos="993" w:val="left"/>
        </w:tabs>
        <w:spacing w:after="120" w:before="0"/>
        <w:contextualSpacing w:val="false"/>
        <w:rPr>
          <w:b/>
          <w:bCs/>
          <w:lang w:val="en-GB"/>
        </w:rPr>
      </w:pPr>
      <w:r>
        <w:rPr>
          <w:b/>
          <w:bCs/>
          <w:lang w:val="en-GB"/>
        </w:rPr>
      </w:r>
    </w:p>
    <w:p>
      <w:pPr>
        <w:pStyle w:val="style0"/>
        <w:tabs>
          <w:tab w:leader="none" w:pos="284" w:val="left"/>
          <w:tab w:leader="none" w:pos="567" w:val="left"/>
          <w:tab w:leader="none" w:pos="993" w:val="left"/>
        </w:tabs>
        <w:spacing w:after="120" w:before="0"/>
        <w:contextualSpacing w:val="false"/>
        <w:rPr>
          <w:b/>
          <w:bCs/>
          <w:lang w:val="en-GB"/>
        </w:rPr>
      </w:pPr>
      <w:r>
        <w:rPr>
          <w:b/>
          <w:bCs/>
          <w:lang w:val="en-GB"/>
        </w:rPr>
        <w:t>DESCRIPTION OF THE DATA SOURCE</w:t>
      </w:r>
    </w:p>
    <w:p>
      <w:pPr>
        <w:pStyle w:val="style0"/>
        <w:tabs>
          <w:tab w:leader="none" w:pos="284" w:val="left"/>
          <w:tab w:leader="none" w:pos="567" w:val="left"/>
          <w:tab w:leader="none" w:pos="851" w:val="left"/>
          <w:tab w:leader="none" w:pos="1276" w:val="left"/>
        </w:tabs>
        <w:spacing w:after="120" w:before="0"/>
        <w:contextualSpacing w:val="false"/>
        <w:rPr>
          <w:lang w:val="en-GB"/>
        </w:rPr>
      </w:pPr>
      <w:r>
        <w:rPr>
          <w:lang w:val="en-GB"/>
        </w:rPr>
        <w:tab/>
        <w:t>1.</w:t>
        <w:tab/>
        <w:t>Fishery-independent indices</w:t>
      </w:r>
    </w:p>
    <w:p>
      <w:pPr>
        <w:pStyle w:val="style0"/>
        <w:tabs>
          <w:tab w:leader="none" w:pos="284" w:val="left"/>
          <w:tab w:leader="none" w:pos="567" w:val="left"/>
          <w:tab w:leader="none" w:pos="851" w:val="left"/>
          <w:tab w:leader="none" w:pos="1276" w:val="left"/>
        </w:tabs>
        <w:rPr>
          <w:lang w:val="en-GB"/>
        </w:rPr>
      </w:pPr>
      <w:r>
        <w:rPr>
          <w:lang w:val="en-GB"/>
        </w:rPr>
        <w:tab/>
        <w:tab/>
        <w:t>a)</w:t>
        <w:tab/>
        <w:t xml:space="preserve">Describe the survey design. </w:t>
      </w:r>
    </w:p>
    <w:p>
      <w:pPr>
        <w:pStyle w:val="style0"/>
        <w:tabs>
          <w:tab w:leader="none" w:pos="284" w:val="left"/>
          <w:tab w:leader="none" w:pos="567" w:val="left"/>
          <w:tab w:leader="none" w:pos="851" w:val="left"/>
          <w:tab w:leader="none" w:pos="1276" w:val="left"/>
        </w:tabs>
        <w:rPr>
          <w:lang w:val="en-GB"/>
        </w:rPr>
      </w:pPr>
      <w:r>
        <w:rPr>
          <w:lang w:val="en-GB"/>
        </w:rPr>
        <w:tab/>
        <w:tab/>
        <w:t>b)</w:t>
        <w:tab/>
        <w:t xml:space="preserve">Describe sampling methodology. </w:t>
      </w:r>
    </w:p>
    <w:p>
      <w:pPr>
        <w:pStyle w:val="style0"/>
        <w:tabs>
          <w:tab w:leader="none" w:pos="284" w:val="left"/>
          <w:tab w:leader="none" w:pos="567" w:val="left"/>
          <w:tab w:leader="none" w:pos="851" w:val="left"/>
          <w:tab w:leader="none" w:pos="1276" w:val="left"/>
        </w:tabs>
        <w:rPr>
          <w:lang w:val="en-GB"/>
        </w:rPr>
      </w:pPr>
      <w:r>
        <w:rPr>
          <w:lang w:val="en-GB"/>
        </w:rPr>
        <w:tab/>
        <w:tab/>
        <w:t>c)</w:t>
        <w:tab/>
        <w:t>Describe any changes in sampling methodology.</w:t>
      </w:r>
    </w:p>
    <w:p>
      <w:pPr>
        <w:pStyle w:val="style0"/>
        <w:tabs>
          <w:tab w:leader="none" w:pos="284" w:val="left"/>
          <w:tab w:leader="none" w:pos="567" w:val="left"/>
          <w:tab w:leader="none" w:pos="851" w:val="left"/>
          <w:tab w:leader="none" w:pos="1276" w:val="left"/>
        </w:tabs>
        <w:rPr>
          <w:lang w:val="en-GB"/>
        </w:rPr>
      </w:pPr>
      <w:r>
        <w:rPr>
          <w:lang w:val="en-GB"/>
        </w:rPr>
        <w:tab/>
        <w:tab/>
        <w:t>d)</w:t>
        <w:tab/>
        <w:t>Describe the variables used in the development of the index.</w:t>
      </w:r>
    </w:p>
    <w:p>
      <w:pPr>
        <w:pStyle w:val="style0"/>
        <w:tabs>
          <w:tab w:leader="none" w:pos="284" w:val="left"/>
          <w:tab w:leader="none" w:pos="567" w:val="left"/>
          <w:tab w:leader="none" w:pos="851" w:val="left"/>
          <w:tab w:leader="none" w:pos="1276" w:val="left"/>
        </w:tabs>
        <w:rPr>
          <w:lang w:val="en-GB"/>
        </w:rPr>
      </w:pPr>
      <w:r>
        <w:rPr>
          <w:lang w:val="en-GB"/>
        </w:rPr>
        <w:tab/>
        <w:tab/>
        <w:t>e)</w:t>
        <w:tab/>
        <w:t>What species or species assemblages are targeted by this survey.</w:t>
      </w:r>
    </w:p>
    <w:p>
      <w:pPr>
        <w:pStyle w:val="style0"/>
        <w:tabs>
          <w:tab w:leader="none" w:pos="284" w:val="left"/>
          <w:tab w:leader="none" w:pos="567" w:val="left"/>
          <w:tab w:leader="none" w:pos="851" w:val="left"/>
          <w:tab w:leader="none" w:pos="1276" w:val="left"/>
        </w:tabs>
        <w:spacing w:after="100" w:before="0"/>
        <w:contextualSpacing w:val="false"/>
        <w:rPr>
          <w:lang w:val="en-GB"/>
        </w:rPr>
      </w:pPr>
      <w:r>
        <w:rPr>
          <w:lang w:val="en-GB"/>
        </w:rPr>
        <w:tab/>
        <w:tab/>
        <w:t>f)</w:t>
        <w:tab/>
        <w:t xml:space="preserve">Describe the size/age range that the index applies to. Include supporting figures. </w:t>
      </w:r>
    </w:p>
    <w:p>
      <w:pPr>
        <w:pStyle w:val="style0"/>
        <w:tabs>
          <w:tab w:leader="none" w:pos="284" w:val="left"/>
          <w:tab w:leader="none" w:pos="567" w:val="left"/>
          <w:tab w:leader="none" w:pos="851" w:val="left"/>
          <w:tab w:leader="none" w:pos="1276" w:val="left"/>
        </w:tabs>
        <w:spacing w:after="100" w:before="0"/>
        <w:contextualSpacing w:val="false"/>
        <w:rPr>
          <w:lang w:val="en-GB"/>
        </w:rPr>
      </w:pPr>
      <w:r>
        <w:rPr>
          <w:lang w:val="en-GB"/>
        </w:rPr>
        <w:tab/>
        <w:t>2.</w:t>
        <w:tab/>
        <w:t>Fishery-dependent indices</w:t>
      </w:r>
    </w:p>
    <w:p>
      <w:pPr>
        <w:pStyle w:val="style0"/>
        <w:tabs>
          <w:tab w:leader="none" w:pos="284" w:val="left"/>
          <w:tab w:leader="none" w:pos="567" w:val="left"/>
          <w:tab w:leader="none" w:pos="851" w:val="left"/>
          <w:tab w:leader="none" w:pos="1276" w:val="left"/>
        </w:tabs>
        <w:rPr>
          <w:lang w:val="en-GB"/>
        </w:rPr>
      </w:pPr>
      <w:r>
        <w:rPr>
          <w:lang w:val="en-GB"/>
        </w:rPr>
        <w:tab/>
        <w:tab/>
        <w:t>a)</w:t>
        <w:tab/>
        <w:t>Describe the data source, type of fishery and target species.</w:t>
      </w:r>
    </w:p>
    <w:p>
      <w:pPr>
        <w:pStyle w:val="style0"/>
        <w:tabs>
          <w:tab w:leader="none" w:pos="284" w:val="left"/>
          <w:tab w:leader="none" w:pos="567" w:val="left"/>
          <w:tab w:leader="none" w:pos="851" w:val="left"/>
          <w:tab w:leader="none" w:pos="1276" w:val="left"/>
        </w:tabs>
        <w:rPr>
          <w:lang w:val="en-GB"/>
        </w:rPr>
      </w:pPr>
      <w:r>
        <w:rPr>
          <w:lang w:val="en-GB"/>
        </w:rPr>
        <w:tab/>
        <w:tab/>
        <w:t>b)</w:t>
        <w:tab/>
        <w:t>Describe any changes to reporting requirements, variables reported, etc.</w:t>
      </w:r>
    </w:p>
    <w:p>
      <w:pPr>
        <w:pStyle w:val="style0"/>
        <w:tabs>
          <w:tab w:leader="none" w:pos="284" w:val="left"/>
          <w:tab w:leader="none" w:pos="567" w:val="left"/>
          <w:tab w:leader="none" w:pos="851" w:val="left"/>
          <w:tab w:leader="none" w:pos="1276" w:val="left"/>
        </w:tabs>
        <w:rPr>
          <w:lang w:val="en-GB"/>
        </w:rPr>
      </w:pPr>
      <w:r>
        <w:rPr>
          <w:lang w:val="en-GB"/>
        </w:rPr>
        <w:tab/>
        <w:tab/>
        <w:t>c)</w:t>
        <w:tab/>
        <w:t xml:space="preserve">Describe the variables used in the development of the index, including variables related to targeting. </w:t>
      </w:r>
    </w:p>
    <w:p>
      <w:pPr>
        <w:pStyle w:val="style0"/>
        <w:tabs>
          <w:tab w:leader="none" w:pos="284" w:val="left"/>
          <w:tab w:leader="none" w:pos="567" w:val="left"/>
          <w:tab w:leader="none" w:pos="851" w:val="left"/>
          <w:tab w:leader="none" w:pos="1276" w:val="left"/>
        </w:tabs>
        <w:rPr>
          <w:lang w:val="en-GB"/>
        </w:rPr>
      </w:pPr>
      <w:r>
        <w:rPr>
          <w:lang w:val="en-GB"/>
        </w:rPr>
        <w:tab/>
        <w:tab/>
        <w:t>d)</w:t>
        <w:tab/>
        <w:t xml:space="preserve">Describe the size and/or age range that the index applies to. Include supporting figures. </w:t>
      </w:r>
    </w:p>
    <w:p>
      <w:pPr>
        <w:pStyle w:val="style0"/>
        <w:tabs>
          <w:tab w:leader="none" w:pos="284" w:val="left"/>
          <w:tab w:leader="none" w:pos="567" w:val="left"/>
          <w:tab w:leader="none" w:pos="851" w:val="left"/>
          <w:tab w:leader="none" w:pos="1276" w:val="left"/>
        </w:tabs>
        <w:ind w:hanging="851" w:left="851" w:right="0"/>
        <w:rPr>
          <w:lang w:val="en-GB"/>
        </w:rPr>
      </w:pPr>
      <w:r>
        <w:rPr>
          <w:lang w:val="en-GB"/>
        </w:rPr>
        <w:tab/>
        <w:tab/>
        <w:t>e)</w:t>
        <w:tab/>
        <w:t xml:space="preserve">Description of changes in the fishery that might affect catch rates such as changes in fishing power, market conditions etc. </w:t>
      </w:r>
    </w:p>
    <w:p>
      <w:pPr>
        <w:pStyle w:val="style32"/>
        <w:tabs>
          <w:tab w:leader="none" w:pos="284" w:val="left"/>
          <w:tab w:leader="none" w:pos="567" w:val="left"/>
          <w:tab w:leader="none" w:pos="851" w:val="left"/>
          <w:tab w:leader="none" w:pos="1276" w:val="left"/>
        </w:tabs>
        <w:spacing w:after="0" w:before="0" w:line="100" w:lineRule="atLeast"/>
        <w:ind w:hanging="0" w:left="1440" w:right="0"/>
        <w:contextualSpacing/>
        <w:rPr>
          <w:rFonts w:ascii="Times New Roman" w:hAnsi="Times New Roman"/>
          <w:sz w:val="20"/>
          <w:szCs w:val="20"/>
          <w:lang w:val="en-GB"/>
        </w:rPr>
      </w:pPr>
      <w:r>
        <w:rPr>
          <w:rFonts w:ascii="Times New Roman" w:hAnsi="Times New Roman"/>
          <w:sz w:val="20"/>
          <w:szCs w:val="20"/>
          <w:lang w:val="en-GB"/>
        </w:rPr>
      </w:r>
    </w:p>
    <w:p>
      <w:pPr>
        <w:pStyle w:val="style0"/>
        <w:tabs>
          <w:tab w:leader="none" w:pos="284" w:val="left"/>
          <w:tab w:leader="none" w:pos="567" w:val="left"/>
          <w:tab w:leader="none" w:pos="851" w:val="left"/>
          <w:tab w:leader="none" w:pos="1276" w:val="left"/>
        </w:tabs>
        <w:spacing w:after="120" w:before="0"/>
        <w:contextualSpacing w:val="false"/>
        <w:rPr>
          <w:b/>
          <w:bCs/>
          <w:lang w:val="en-GB"/>
        </w:rPr>
      </w:pPr>
      <w:r>
        <w:rPr>
          <w:b/>
          <w:bCs/>
          <w:lang w:val="en-GB"/>
        </w:rPr>
        <w:t>METHODS</w:t>
      </w:r>
    </w:p>
    <w:p>
      <w:pPr>
        <w:pStyle w:val="style0"/>
        <w:tabs>
          <w:tab w:leader="none" w:pos="284" w:val="left"/>
          <w:tab w:leader="none" w:pos="567" w:val="left"/>
          <w:tab w:leader="none" w:pos="851" w:val="left"/>
          <w:tab w:leader="none" w:pos="1276" w:val="left"/>
        </w:tabs>
        <w:spacing w:after="80" w:before="0"/>
        <w:contextualSpacing w:val="false"/>
        <w:rPr>
          <w:lang w:val="en-GB"/>
        </w:rPr>
      </w:pPr>
      <w:r>
        <w:rPr>
          <w:lang w:val="en-GB"/>
        </w:rPr>
        <w:tab/>
        <w:t>1.</w:t>
        <w:tab/>
        <w:t>Data reduction and exclusions</w:t>
      </w:r>
    </w:p>
    <w:p>
      <w:pPr>
        <w:pStyle w:val="style0"/>
        <w:tabs>
          <w:tab w:leader="none" w:pos="284" w:val="left"/>
          <w:tab w:leader="none" w:pos="567" w:val="left"/>
          <w:tab w:leader="none" w:pos="851" w:val="left"/>
          <w:tab w:leader="none" w:pos="1276" w:val="left"/>
        </w:tabs>
        <w:rPr>
          <w:lang w:val="en-GB"/>
        </w:rPr>
      </w:pPr>
      <w:r>
        <w:rPr>
          <w:lang w:val="en-GB"/>
        </w:rPr>
        <w:tab/>
        <w:tab/>
        <w:t>a)</w:t>
        <w:tab/>
        <w:t xml:space="preserve">Identify any data exclusions and the rationale used. </w:t>
      </w:r>
    </w:p>
    <w:p>
      <w:pPr>
        <w:pStyle w:val="style0"/>
        <w:tabs>
          <w:tab w:leader="none" w:pos="284" w:val="left"/>
          <w:tab w:leader="none" w:pos="567" w:val="left"/>
          <w:tab w:leader="none" w:pos="851" w:val="left"/>
          <w:tab w:leader="none" w:pos="1276" w:val="left"/>
        </w:tabs>
        <w:spacing w:after="80" w:before="0"/>
        <w:contextualSpacing w:val="false"/>
        <w:rPr>
          <w:lang w:val="en-GB"/>
        </w:rPr>
      </w:pPr>
      <w:r>
        <w:rPr>
          <w:lang w:val="en-GB"/>
        </w:rPr>
        <w:tab/>
        <w:tab/>
        <w:t>b)</w:t>
        <w:tab/>
        <w:t>Provide an assessment of the quality of the data used.</w:t>
      </w:r>
    </w:p>
    <w:p>
      <w:pPr>
        <w:pStyle w:val="style0"/>
        <w:tabs>
          <w:tab w:leader="none" w:pos="284" w:val="left"/>
          <w:tab w:leader="none" w:pos="567" w:val="left"/>
          <w:tab w:leader="none" w:pos="851" w:val="left"/>
          <w:tab w:leader="none" w:pos="1276" w:val="left"/>
        </w:tabs>
        <w:spacing w:after="80" w:before="0"/>
        <w:contextualSpacing w:val="false"/>
        <w:rPr>
          <w:lang w:val="en-GB"/>
        </w:rPr>
      </w:pPr>
      <w:r>
        <w:rPr>
          <w:lang w:val="en-GB"/>
        </w:rPr>
        <w:tab/>
        <w:t>2.</w:t>
        <w:tab/>
        <w:t>Management Regulations</w:t>
      </w:r>
    </w:p>
    <w:p>
      <w:pPr>
        <w:pStyle w:val="style0"/>
        <w:tabs>
          <w:tab w:leader="none" w:pos="284" w:val="left"/>
          <w:tab w:leader="none" w:pos="567" w:val="left"/>
          <w:tab w:leader="none" w:pos="851" w:val="left"/>
          <w:tab w:leader="none" w:pos="1276" w:val="left"/>
        </w:tabs>
        <w:rPr>
          <w:lang w:val="en-GB"/>
        </w:rPr>
      </w:pPr>
      <w:r>
        <w:rPr>
          <w:lang w:val="en-GB"/>
        </w:rPr>
        <w:tab/>
        <w:tab/>
        <w:t>a)</w:t>
        <w:tab/>
        <w:t xml:space="preserve">Provide a history of management regulations in the fishery. </w:t>
      </w:r>
    </w:p>
    <w:p>
      <w:pPr>
        <w:pStyle w:val="style0"/>
        <w:tabs>
          <w:tab w:leader="none" w:pos="284" w:val="left"/>
          <w:tab w:leader="none" w:pos="567" w:val="left"/>
          <w:tab w:leader="none" w:pos="851" w:val="left"/>
          <w:tab w:leader="none" w:pos="1276" w:val="left"/>
        </w:tabs>
        <w:rPr>
          <w:lang w:val="en-GB"/>
        </w:rPr>
      </w:pPr>
      <w:r>
        <w:rPr>
          <w:lang w:val="en-GB"/>
        </w:rPr>
        <w:tab/>
        <w:tab/>
        <w:t>b)</w:t>
        <w:tab/>
        <w:t>Identify the potential effects of management regulations on CPUE.</w:t>
      </w:r>
    </w:p>
    <w:p>
      <w:pPr>
        <w:pStyle w:val="style0"/>
        <w:tabs>
          <w:tab w:leader="none" w:pos="284" w:val="left"/>
          <w:tab w:leader="none" w:pos="567" w:val="left"/>
          <w:tab w:leader="none" w:pos="851" w:val="left"/>
          <w:tab w:leader="none" w:pos="1276" w:val="left"/>
        </w:tabs>
        <w:spacing w:after="80" w:before="0"/>
        <w:ind w:hanging="851" w:left="851" w:right="0"/>
        <w:contextualSpacing w:val="false"/>
        <w:rPr>
          <w:lang w:val="en-GB"/>
        </w:rPr>
      </w:pPr>
      <w:r>
        <w:rPr>
          <w:lang w:val="en-GB"/>
        </w:rPr>
        <w:tab/>
        <w:tab/>
        <w:t>c)</w:t>
        <w:tab/>
        <w:t>Discuss methods used (if any) to account for the potential effects of management measures and their implementation on the CPUE series.</w:t>
      </w:r>
    </w:p>
    <w:p>
      <w:pPr>
        <w:pStyle w:val="style0"/>
        <w:tabs>
          <w:tab w:leader="none" w:pos="284" w:val="left"/>
          <w:tab w:leader="none" w:pos="567" w:val="left"/>
          <w:tab w:leader="none" w:pos="851" w:val="left"/>
          <w:tab w:leader="none" w:pos="1276" w:val="left"/>
        </w:tabs>
        <w:spacing w:after="80" w:before="0"/>
        <w:contextualSpacing w:val="false"/>
        <w:rPr>
          <w:lang w:val="en-GB"/>
        </w:rPr>
      </w:pPr>
      <w:r>
        <w:rPr>
          <w:lang w:val="en-GB"/>
        </w:rPr>
        <w:tab/>
        <w:t>3.</w:t>
        <w:tab/>
        <w:t>Describe analysis dataset (after exclusions and other treatments).</w:t>
      </w:r>
    </w:p>
    <w:p>
      <w:pPr>
        <w:pStyle w:val="style0"/>
        <w:tabs>
          <w:tab w:leader="none" w:pos="284" w:val="left"/>
          <w:tab w:leader="none" w:pos="567" w:val="left"/>
          <w:tab w:leader="none" w:pos="851" w:val="left"/>
          <w:tab w:leader="none" w:pos="1276" w:val="left"/>
        </w:tabs>
        <w:ind w:hanging="851" w:left="851" w:right="0"/>
        <w:rPr>
          <w:lang w:val="en-GB"/>
        </w:rPr>
      </w:pPr>
      <w:r>
        <w:rPr>
          <w:lang w:val="en-GB"/>
        </w:rPr>
        <w:tab/>
        <w:tab/>
        <w:t>a)</w:t>
        <w:tab/>
        <w:t>Provide tables and/or figures of number of all observations and, where relevant, positive observations by factors (including year, area, etc.) and interaction terms.</w:t>
      </w:r>
    </w:p>
    <w:p>
      <w:pPr>
        <w:pStyle w:val="style0"/>
        <w:tabs>
          <w:tab w:leader="none" w:pos="284" w:val="left"/>
          <w:tab w:leader="none" w:pos="567" w:val="left"/>
          <w:tab w:leader="none" w:pos="851" w:val="left"/>
          <w:tab w:leader="none" w:pos="1276" w:val="left"/>
        </w:tabs>
        <w:rPr>
          <w:lang w:val="en-GB"/>
        </w:rPr>
      </w:pPr>
      <w:r>
        <w:rPr>
          <w:lang w:val="en-GB"/>
        </w:rPr>
        <w:tab/>
        <w:tab/>
        <w:t>b)</w:t>
        <w:tab/>
        <w:t>Provide an evaluation of the annual spatial extent of the fishery noting any changes.</w:t>
      </w:r>
    </w:p>
    <w:p>
      <w:pPr>
        <w:pStyle w:val="style0"/>
        <w:tabs>
          <w:tab w:leader="none" w:pos="284" w:val="left"/>
          <w:tab w:leader="none" w:pos="567" w:val="left"/>
          <w:tab w:leader="none" w:pos="851" w:val="left"/>
          <w:tab w:leader="none" w:pos="1276" w:val="left"/>
        </w:tabs>
        <w:spacing w:after="80" w:before="0"/>
        <w:ind w:hanging="851" w:left="851" w:right="0"/>
        <w:contextualSpacing w:val="false"/>
        <w:rPr>
          <w:lang w:val="en-GB"/>
        </w:rPr>
      </w:pPr>
      <w:r>
        <w:rPr>
          <w:lang w:val="en-GB"/>
        </w:rPr>
        <w:tab/>
        <w:tab/>
        <w:t>c)</w:t>
        <w:tab/>
        <w:t>Describe the effort catch variables and the units. If more than one effort variable is present in the dataset, justify selection.</w:t>
      </w:r>
    </w:p>
    <w:p>
      <w:pPr>
        <w:pStyle w:val="style0"/>
        <w:tabs>
          <w:tab w:leader="none" w:pos="284" w:val="left"/>
          <w:tab w:leader="none" w:pos="567" w:val="left"/>
          <w:tab w:leader="none" w:pos="851" w:val="left"/>
          <w:tab w:leader="none" w:pos="1276" w:val="left"/>
        </w:tabs>
        <w:spacing w:after="80" w:before="0"/>
        <w:contextualSpacing w:val="false"/>
        <w:rPr>
          <w:lang w:val="en-GB"/>
        </w:rPr>
      </w:pPr>
      <w:r>
        <w:rPr>
          <w:lang w:val="en-GB"/>
        </w:rPr>
        <w:tab/>
        <w:t>4.</w:t>
        <w:tab/>
        <w:t>Model standardization</w:t>
      </w:r>
    </w:p>
    <w:p>
      <w:pPr>
        <w:pStyle w:val="style0"/>
        <w:tabs>
          <w:tab w:leader="none" w:pos="284" w:val="left"/>
          <w:tab w:leader="none" w:pos="567" w:val="left"/>
          <w:tab w:leader="none" w:pos="851" w:val="left"/>
          <w:tab w:leader="none" w:pos="1276" w:val="left"/>
        </w:tabs>
        <w:rPr>
          <w:lang w:val="en-GB"/>
        </w:rPr>
      </w:pPr>
      <w:r>
        <w:rPr>
          <w:lang w:val="en-GB"/>
        </w:rPr>
        <w:tab/>
        <w:tab/>
        <w:t>a)</w:t>
        <w:tab/>
        <w:t>Provide the rationale for the standardization technique.</w:t>
      </w:r>
    </w:p>
    <w:p>
      <w:pPr>
        <w:pStyle w:val="style0"/>
        <w:tabs>
          <w:tab w:leader="none" w:pos="284" w:val="left"/>
          <w:tab w:leader="none" w:pos="567" w:val="left"/>
          <w:tab w:leader="none" w:pos="851" w:val="left"/>
          <w:tab w:leader="none" w:pos="1276" w:val="left"/>
        </w:tabs>
        <w:spacing w:after="80" w:before="0"/>
        <w:contextualSpacing w:val="false"/>
        <w:rPr>
          <w:lang w:val="en-GB"/>
        </w:rPr>
      </w:pPr>
      <w:r>
        <w:rPr>
          <w:lang w:val="en-GB"/>
        </w:rPr>
        <w:tab/>
        <w:tab/>
        <w:t>b)</w:t>
        <w:tab/>
        <w:t>GLM model standardization:</w:t>
      </w:r>
    </w:p>
    <w:p>
      <w:pPr>
        <w:pStyle w:val="style0"/>
        <w:tabs>
          <w:tab w:leader="none" w:pos="284" w:val="left"/>
          <w:tab w:leader="none" w:pos="567" w:val="left"/>
          <w:tab w:leader="none" w:pos="851" w:val="left"/>
          <w:tab w:leader="none" w:pos="1276" w:val="left"/>
        </w:tabs>
        <w:rPr>
          <w:lang w:val="en-GB"/>
        </w:rPr>
      </w:pPr>
      <w:r>
        <w:rPr>
          <w:lang w:val="en-GB"/>
        </w:rPr>
        <w:tab/>
        <w:tab/>
        <w:tab/>
        <w:t>i)</w:t>
        <w:tab/>
        <w:t>Describe model structure (e.g., delta-lognormal).</w:t>
      </w:r>
    </w:p>
    <w:p>
      <w:pPr>
        <w:pStyle w:val="style0"/>
        <w:tabs>
          <w:tab w:leader="none" w:pos="284" w:val="left"/>
          <w:tab w:leader="none" w:pos="567" w:val="left"/>
          <w:tab w:leader="none" w:pos="851" w:val="left"/>
          <w:tab w:leader="none" w:pos="1276" w:val="left"/>
        </w:tabs>
        <w:rPr>
          <w:lang w:val="en-GB"/>
        </w:rPr>
      </w:pPr>
      <w:r>
        <w:rPr>
          <w:lang w:val="en-GB"/>
        </w:rPr>
        <w:tab/>
        <w:tab/>
        <w:tab/>
        <w:t>ii)</w:t>
        <w:tab/>
        <w:t>Describe construction of GLM components (e.g., how were covariates chosen, etc.).</w:t>
      </w:r>
    </w:p>
    <w:p>
      <w:pPr>
        <w:pStyle w:val="style0"/>
        <w:tabs>
          <w:tab w:leader="none" w:pos="284" w:val="left"/>
          <w:tab w:leader="none" w:pos="567" w:val="left"/>
          <w:tab w:leader="none" w:pos="851" w:val="left"/>
          <w:tab w:leader="none" w:pos="1276" w:val="left"/>
        </w:tabs>
        <w:rPr>
          <w:lang w:val="en-GB"/>
        </w:rPr>
      </w:pPr>
      <w:r>
        <w:rPr>
          <w:lang w:val="en-GB"/>
        </w:rPr>
        <w:tab/>
        <w:tab/>
        <w:tab/>
        <w:t>iii)</w:t>
        <w:tab/>
        <w:t>Describe inclusion criteria for factors and interactions terms.</w:t>
      </w:r>
    </w:p>
    <w:p>
      <w:pPr>
        <w:pStyle w:val="style0"/>
        <w:tabs>
          <w:tab w:leader="none" w:pos="284" w:val="left"/>
          <w:tab w:leader="none" w:pos="567" w:val="left"/>
          <w:tab w:leader="none" w:pos="851" w:val="left"/>
          <w:tab w:leader="none" w:pos="1276" w:val="left"/>
        </w:tabs>
        <w:ind w:hanging="1272" w:left="1272" w:right="0"/>
        <w:rPr>
          <w:lang w:val="en-GB"/>
        </w:rPr>
      </w:pPr>
      <w:r>
        <w:rPr>
          <w:lang w:val="en-GB"/>
        </w:rPr>
        <w:tab/>
        <w:tab/>
        <w:tab/>
        <w:t>iv)</w:t>
        <w:tab/>
        <w:t>Are YEAR*FACTOR interactions included in the model? If so, how (e.g., fixed effect, random effect)? Were random effects tested for significance using a likelihood ratio test?</w:t>
      </w:r>
    </w:p>
    <w:p>
      <w:pPr>
        <w:pStyle w:val="style0"/>
        <w:tabs>
          <w:tab w:leader="none" w:pos="284" w:val="left"/>
          <w:tab w:leader="none" w:pos="567" w:val="left"/>
          <w:tab w:leader="none" w:pos="851" w:val="left"/>
          <w:tab w:leader="none" w:pos="1276" w:val="left"/>
        </w:tabs>
        <w:rPr>
          <w:lang w:val="en-GB"/>
        </w:rPr>
      </w:pPr>
      <w:r>
        <w:rPr>
          <w:lang w:val="en-GB"/>
        </w:rPr>
        <w:tab/>
        <w:tab/>
        <w:tab/>
        <w:t>v)</w:t>
        <w:tab/>
        <w:t xml:space="preserve">Provide a table summarizing the construction of the GLM components. </w:t>
      </w:r>
    </w:p>
    <w:p>
      <w:pPr>
        <w:pStyle w:val="style0"/>
        <w:tabs>
          <w:tab w:leader="none" w:pos="284" w:val="left"/>
          <w:tab w:leader="none" w:pos="567" w:val="left"/>
          <w:tab w:leader="none" w:pos="851" w:val="left"/>
          <w:tab w:leader="none" w:pos="1276" w:val="left"/>
        </w:tabs>
        <w:ind w:hanging="1272" w:left="1272" w:right="0"/>
        <w:rPr>
          <w:lang w:val="en-GB"/>
        </w:rPr>
      </w:pPr>
      <w:r>
        <w:rPr>
          <w:lang w:val="en-GB"/>
        </w:rPr>
        <w:tab/>
        <w:tab/>
        <w:tab/>
        <w:t>vi)</w:t>
        <w:tab/>
        <w:t>Summarize model statistics of the mixed model formulation(s) (e.g., log likelihood, AIC, BIC, etc.).</w:t>
      </w:r>
    </w:p>
    <w:p>
      <w:pPr>
        <w:pStyle w:val="style0"/>
        <w:tabs>
          <w:tab w:leader="none" w:pos="284" w:val="left"/>
          <w:tab w:leader="none" w:pos="567" w:val="left"/>
          <w:tab w:leader="none" w:pos="851" w:val="left"/>
          <w:tab w:leader="none" w:pos="1276" w:val="left"/>
        </w:tabs>
        <w:spacing w:after="80" w:before="0"/>
        <w:contextualSpacing w:val="false"/>
        <w:rPr>
          <w:lang w:val="en-GB"/>
        </w:rPr>
      </w:pPr>
      <w:r>
        <w:rPr>
          <w:lang w:val="en-GB"/>
        </w:rPr>
        <w:tab/>
        <w:tab/>
        <w:tab/>
        <w:t>vii)</w:t>
        <w:tab/>
        <w:t>Report convergence statistics.</w:t>
      </w:r>
    </w:p>
    <w:p>
      <w:pPr>
        <w:pStyle w:val="style0"/>
        <w:tabs>
          <w:tab w:leader="none" w:pos="284" w:val="left"/>
          <w:tab w:leader="none" w:pos="567" w:val="left"/>
          <w:tab w:leader="none" w:pos="851" w:val="left"/>
          <w:tab w:leader="none" w:pos="1276" w:val="left"/>
        </w:tabs>
        <w:spacing w:after="80" w:before="0"/>
        <w:contextualSpacing w:val="false"/>
        <w:rPr>
          <w:lang w:val="en-GB"/>
        </w:rPr>
      </w:pPr>
      <w:r>
        <w:rPr>
          <w:lang w:val="en-GB"/>
        </w:rPr>
        <w:tab/>
        <w:tab/>
        <w:t>c)</w:t>
        <w:tab/>
        <w:t>If other modeling standardization approaches were used:</w:t>
      </w:r>
    </w:p>
    <w:p>
      <w:pPr>
        <w:pStyle w:val="style0"/>
        <w:tabs>
          <w:tab w:leader="none" w:pos="284" w:val="left"/>
          <w:tab w:leader="none" w:pos="567" w:val="left"/>
          <w:tab w:leader="none" w:pos="851" w:val="left"/>
          <w:tab w:leader="none" w:pos="1276" w:val="left"/>
        </w:tabs>
        <w:rPr>
          <w:lang w:val="en-GB"/>
        </w:rPr>
      </w:pPr>
      <w:r>
        <w:rPr>
          <w:lang w:val="en-GB"/>
        </w:rPr>
        <w:tab/>
        <w:tab/>
        <w:tab/>
        <w:t>i)</w:t>
        <w:tab/>
        <w:t>Describe the model used, criteria for the selection of factors, and report relevant statistics.</w:t>
      </w:r>
    </w:p>
    <w:p>
      <w:pPr>
        <w:pStyle w:val="style32"/>
        <w:tabs>
          <w:tab w:leader="none" w:pos="284" w:val="left"/>
          <w:tab w:leader="none" w:pos="567" w:val="left"/>
          <w:tab w:leader="none" w:pos="851" w:val="left"/>
          <w:tab w:leader="none" w:pos="1276" w:val="left"/>
        </w:tabs>
        <w:spacing w:after="0" w:before="0" w:line="100" w:lineRule="atLeast"/>
        <w:ind w:hanging="0" w:left="2160" w:right="0"/>
        <w:contextualSpacing/>
        <w:rPr>
          <w:rFonts w:ascii="Times New Roman" w:hAnsi="Times New Roman"/>
          <w:sz w:val="20"/>
          <w:szCs w:val="20"/>
          <w:lang w:val="en-GB"/>
        </w:rPr>
      </w:pPr>
      <w:r>
        <w:rPr>
          <w:rFonts w:ascii="Times New Roman" w:hAnsi="Times New Roman"/>
          <w:sz w:val="20"/>
          <w:szCs w:val="20"/>
          <w:lang w:val="en-GB"/>
        </w:rPr>
      </w:r>
    </w:p>
    <w:p>
      <w:pPr>
        <w:pStyle w:val="style0"/>
        <w:tabs>
          <w:tab w:leader="none" w:pos="284" w:val="left"/>
          <w:tab w:leader="none" w:pos="567" w:val="left"/>
          <w:tab w:leader="none" w:pos="851" w:val="left"/>
          <w:tab w:leader="none" w:pos="1276" w:val="left"/>
        </w:tabs>
        <w:spacing w:after="120" w:before="0"/>
        <w:contextualSpacing w:val="false"/>
        <w:rPr>
          <w:b/>
          <w:bCs/>
          <w:lang w:val="en-GB"/>
        </w:rPr>
      </w:pPr>
      <w:r>
        <w:rPr>
          <w:b/>
          <w:bCs/>
          <w:lang w:val="en-GB"/>
        </w:rPr>
      </w:r>
    </w:p>
    <w:p>
      <w:pPr>
        <w:pStyle w:val="style0"/>
        <w:pageBreakBefore/>
        <w:tabs>
          <w:tab w:leader="none" w:pos="284" w:val="left"/>
          <w:tab w:leader="none" w:pos="567" w:val="left"/>
          <w:tab w:leader="none" w:pos="851" w:val="left"/>
          <w:tab w:leader="none" w:pos="1276" w:val="left"/>
        </w:tabs>
        <w:spacing w:after="120" w:before="0"/>
        <w:contextualSpacing w:val="false"/>
        <w:rPr>
          <w:b/>
          <w:bCs/>
          <w:lang w:val="en-GB"/>
        </w:rPr>
      </w:pPr>
      <w:r>
        <w:rPr>
          <w:b/>
          <w:bCs/>
          <w:lang w:val="en-GB"/>
        </w:rPr>
        <w:t>MODEL DIAGNOSTICS</w:t>
      </w:r>
    </w:p>
    <w:p>
      <w:pPr>
        <w:pStyle w:val="style0"/>
        <w:tabs>
          <w:tab w:leader="none" w:pos="284" w:val="left"/>
          <w:tab w:leader="none" w:pos="567" w:val="left"/>
          <w:tab w:leader="none" w:pos="851" w:val="left"/>
          <w:tab w:leader="none" w:pos="1276" w:val="left"/>
        </w:tabs>
        <w:rPr>
          <w:bCs/>
          <w:lang w:val="en-GB"/>
        </w:rPr>
      </w:pPr>
      <w:r>
        <w:rPr>
          <w:bCs/>
          <w:lang w:val="en-GB"/>
        </w:rPr>
        <w:tab/>
        <w:t>1.</w:t>
        <w:tab/>
        <w:t xml:space="preserve">Provide appropriate model diagnostics </w:t>
      </w:r>
    </w:p>
    <w:p>
      <w:pPr>
        <w:pStyle w:val="style32"/>
        <w:tabs>
          <w:tab w:leader="none" w:pos="284" w:val="left"/>
          <w:tab w:leader="none" w:pos="567" w:val="left"/>
          <w:tab w:leader="none" w:pos="851" w:val="left"/>
          <w:tab w:leader="none" w:pos="1276" w:val="left"/>
        </w:tabs>
        <w:spacing w:after="0" w:before="0" w:line="100" w:lineRule="atLeast"/>
        <w:contextualSpacing/>
        <w:rPr>
          <w:rFonts w:ascii="Times New Roman" w:hAnsi="Times New Roman"/>
          <w:bCs/>
          <w:sz w:val="20"/>
          <w:szCs w:val="20"/>
          <w:lang w:val="en-GB"/>
        </w:rPr>
      </w:pPr>
      <w:r>
        <w:rPr>
          <w:rFonts w:ascii="Times New Roman" w:hAnsi="Times New Roman"/>
          <w:bCs/>
          <w:sz w:val="20"/>
          <w:szCs w:val="20"/>
          <w:lang w:val="en-GB"/>
        </w:rPr>
      </w:r>
    </w:p>
    <w:p>
      <w:pPr>
        <w:pStyle w:val="style0"/>
        <w:tabs>
          <w:tab w:leader="none" w:pos="284" w:val="left"/>
          <w:tab w:leader="none" w:pos="567" w:val="left"/>
          <w:tab w:leader="none" w:pos="851" w:val="left"/>
          <w:tab w:leader="none" w:pos="1276" w:val="left"/>
        </w:tabs>
        <w:spacing w:after="120" w:before="0"/>
        <w:contextualSpacing w:val="false"/>
        <w:rPr>
          <w:b/>
          <w:bCs/>
          <w:lang w:val="en-GB"/>
        </w:rPr>
      </w:pPr>
      <w:r>
        <w:rPr>
          <w:b/>
          <w:bCs/>
          <w:lang w:val="en-GB"/>
        </w:rPr>
        <w:t>MODEL RESULTS</w:t>
      </w:r>
    </w:p>
    <w:p>
      <w:pPr>
        <w:pStyle w:val="style0"/>
        <w:tabs>
          <w:tab w:leader="none" w:pos="284" w:val="left"/>
          <w:tab w:leader="none" w:pos="567" w:val="left"/>
          <w:tab w:leader="none" w:pos="851" w:val="left"/>
          <w:tab w:leader="none" w:pos="1276" w:val="left"/>
        </w:tabs>
        <w:ind w:hanging="564" w:left="564" w:right="0"/>
        <w:rPr>
          <w:lang w:val="en-GB"/>
        </w:rPr>
      </w:pPr>
      <w:r>
        <w:rPr>
          <w:lang w:val="en-GB"/>
        </w:rPr>
        <w:tab/>
        <w:t>1.</w:t>
        <w:tab/>
        <w:t>Provide a table including, at the minimum, nominal CPUE, standardized CPUE and coefficients of variation (CVs). Other statistics may also be appropriate to tabulate.</w:t>
      </w:r>
    </w:p>
    <w:p>
      <w:pPr>
        <w:pStyle w:val="style0"/>
        <w:tabs>
          <w:tab w:leader="none" w:pos="284" w:val="left"/>
          <w:tab w:leader="none" w:pos="567" w:val="left"/>
          <w:tab w:leader="none" w:pos="851" w:val="left"/>
          <w:tab w:leader="none" w:pos="1276" w:val="left"/>
        </w:tabs>
        <w:ind w:hanging="564" w:left="564" w:right="0"/>
        <w:rPr>
          <w:lang w:val="en-GB"/>
        </w:rPr>
      </w:pPr>
      <w:r>
        <w:rPr>
          <w:lang w:val="en-GB"/>
        </w:rPr>
        <w:tab/>
        <w:t>2.</w:t>
        <w:tab/>
        <w:t>Figure of nominal and standardized index with measure of variance (i.e. CVs).</w:t>
      </w:r>
    </w:p>
    <w:p>
      <w:pPr>
        <w:pStyle w:val="style0"/>
        <w:tabs>
          <w:tab w:leader="none" w:pos="284" w:val="left"/>
          <w:tab w:leader="none" w:pos="567" w:val="left"/>
          <w:tab w:leader="none" w:pos="851" w:val="left"/>
          <w:tab w:leader="none" w:pos="1276" w:val="left"/>
        </w:tabs>
        <w:spacing w:after="120" w:before="0"/>
        <w:ind w:hanging="5670" w:left="5670" w:right="0"/>
        <w:contextualSpacing w:val="false"/>
        <w:jc w:val="both"/>
        <w:rPr>
          <w:b/>
          <w:bCs/>
          <w:lang w:val="en-GB"/>
        </w:rPr>
      </w:pPr>
      <w:r>
        <w:rPr>
          <w:b/>
          <w:bCs/>
          <w:lang w:val="en-GB"/>
        </w:rPr>
      </w:r>
    </w:p>
    <w:p>
      <w:pPr>
        <w:pStyle w:val="style0"/>
        <w:tabs>
          <w:tab w:leader="none" w:pos="284" w:val="left"/>
          <w:tab w:leader="none" w:pos="567" w:val="left"/>
          <w:tab w:leader="none" w:pos="851" w:val="left"/>
          <w:tab w:leader="none" w:pos="1276" w:val="left"/>
        </w:tabs>
        <w:spacing w:after="120" w:before="0"/>
        <w:ind w:hanging="5670" w:left="5670" w:right="0"/>
        <w:contextualSpacing w:val="false"/>
        <w:jc w:val="both"/>
        <w:rPr>
          <w:szCs w:val="16"/>
          <w:lang w:val="en-GB"/>
        </w:rPr>
      </w:pPr>
      <w:r>
        <w:rPr>
          <w:b/>
          <w:bCs/>
          <w:lang w:val="en-GB"/>
        </w:rPr>
        <w:t>IF MULTIPLE MODEL STRUCTURES WERE CONSIDERED</w:t>
      </w:r>
      <w:r>
        <w:rPr>
          <w:lang w:val="en-GB"/>
        </w:rPr>
        <w:t>:</w:t>
        <w:tab/>
      </w:r>
      <w:r>
        <w:rPr>
          <w:szCs w:val="16"/>
          <w:lang w:val="en-GB"/>
        </w:rPr>
        <w:t>(</w:t>
      </w:r>
      <w:r>
        <w:rPr>
          <w:b/>
          <w:bCs/>
          <w:i/>
          <w:iCs/>
          <w:szCs w:val="16"/>
          <w:lang w:val="en-GB"/>
        </w:rPr>
        <w:t xml:space="preserve">Note: </w:t>
      </w:r>
      <w:r>
        <w:rPr>
          <w:bCs/>
          <w:i/>
          <w:iCs/>
          <w:szCs w:val="16"/>
          <w:lang w:val="en-GB"/>
        </w:rPr>
        <w:t>This is always recommended but required when model diagnostics are poor</w:t>
      </w:r>
      <w:r>
        <w:rPr>
          <w:szCs w:val="16"/>
          <w:lang w:val="en-GB"/>
        </w:rPr>
        <w:t>.)</w:t>
      </w:r>
    </w:p>
    <w:p>
      <w:pPr>
        <w:pStyle w:val="style0"/>
        <w:tabs>
          <w:tab w:leader="none" w:pos="284" w:val="left"/>
          <w:tab w:leader="none" w:pos="567" w:val="left"/>
          <w:tab w:leader="none" w:pos="851" w:val="left"/>
          <w:tab w:leader="none" w:pos="1276" w:val="left"/>
        </w:tabs>
        <w:rPr>
          <w:lang w:val="en-GB"/>
        </w:rPr>
      </w:pPr>
      <w:r>
        <w:rPr>
          <w:lang w:val="en-GB"/>
        </w:rPr>
        <w:tab/>
        <w:t>1.</w:t>
        <w:tab/>
        <w:t>Plot of resulting indices and estimates of variance</w:t>
      </w:r>
    </w:p>
    <w:p>
      <w:pPr>
        <w:pStyle w:val="style0"/>
        <w:tabs>
          <w:tab w:leader="none" w:pos="284" w:val="left"/>
          <w:tab w:leader="none" w:pos="567" w:val="left"/>
          <w:tab w:leader="none" w:pos="851" w:val="left"/>
          <w:tab w:leader="none" w:pos="1276" w:val="left"/>
        </w:tabs>
        <w:rPr/>
      </w:pPr>
      <w:r>
        <w:rPr>
          <w:lang w:val="en-GB"/>
        </w:rPr>
        <w:tab/>
        <w:t>2.</w:t>
        <w:tab/>
        <w:t>Table of model statistics (e.g., AIC criteria</w:t>
      </w:r>
      <w:r>
        <w:rPr/>
        <w:t>)</w:t>
      </w:r>
    </w:p>
    <w:p>
      <w:pPr>
        <w:pStyle w:val="style0"/>
        <w:spacing w:line="200" w:lineRule="exact"/>
        <w:jc w:val="both"/>
        <w:rPr/>
      </w:pPr>
      <w:r>
        <w:rPr/>
      </w:r>
    </w:p>
    <w:p>
      <w:pPr>
        <w:pStyle w:val="style0"/>
        <w:rPr/>
      </w:pPr>
      <w:r>
        <w:rPr/>
      </w:r>
    </w:p>
    <w:sectPr>
      <w:footerReference r:id="rId16" w:type="default"/>
      <w:type w:val="nextPage"/>
      <w:pgSz w:h="16838" w:w="11906"/>
      <w:pgMar w:bottom="1418" w:footer="1134" w:gutter="0" w:header="0" w:left="1418" w:right="1418" w:top="1418"/>
      <w:pgNumType w:fmt="decimal"/>
      <w:formProt w:val="false"/>
      <w:textDirection w:val="lrTb"/>
      <w:docGrid w:charSpace="8192"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Josu Santiago" w:date="2014-02-20T20:05:00Z" w:id="0" w:initials="JS">
    <w:p>
      <w:r>
        <w:rPr/>
        <w:t>As indicated in previous emails, AZTI is trying to integrate French BB in the analysis (they did not sell their quota) so maybe AZTI  can provide an updated index for the BB fleet in the bay of Biscay up to 2013</w:t>
      </w:r>
    </w:p>
  </w:comment>
  <w:comment w:author="Josu Santiago" w:date="2014-02-20T20:07:00Z" w:id="1" w:initials="JS">
    <w:p>
      <w:r>
        <w:rPr/>
        <w:t>Maybe is too specific for just one fleet. Probably it is better to manage this requirement through Ai directly (Sylvain?)</w:t>
      </w:r>
    </w:p>
  </w:comment>
  <w:comment w:author="Clay Porch" w:date="2014-02-20T08:08:00Z" w:id="2" w:initials="CP">
    <w:p>
      <w:r>
        <w:rPr/>
        <w:t>I Joe Powers going to be the chair again?</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center"/>
      <w:rPr/>
    </w:pPr>
    <w: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center"/>
      <w:rPr/>
    </w:pPr>
    <w:r>
      <w:rPr/>
      <w:fldChar w:fldCharType="begin"/>
    </w:r>
    <w:r>
      <w:instrText> PAGE </w:instrText>
    </w:r>
    <w:r>
      <w:fldChar w:fldCharType="separate"/>
    </w:r>
    <w:r>
      <w:t>11</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center"/>
      <w:rPr/>
    </w:pPr>
    <w:r>
      <w:rPr/>
      <w:fldChar w:fldCharType="begin"/>
    </w:r>
    <w:r>
      <w:instrText> PAGE </w:instrText>
    </w:r>
    <w:r>
      <w:fldChar w:fldCharType="separate"/>
    </w:r>
    <w:r>
      <w:t>11</w:t>
    </w:r>
    <w:r>
      <w:fldChar w:fldCharType="end"/>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2"/>
      <w:numFmt w:val="lowerLetter"/>
      <w:lvlText w:val="%1)"/>
      <w:lvlJc w:val="left"/>
      <w:pPr>
        <w:tabs>
          <w:tab w:pos="900" w:val="num"/>
        </w:tabs>
        <w:ind w:hanging="360" w:left="900"/>
      </w:pPr>
    </w:lvl>
    <w:lvl w:ilvl="1">
      <w:start w:val="1"/>
      <w:numFmt w:val="lowerLetter"/>
      <w:lvlText w:val="%2."/>
      <w:lvlJc w:val="left"/>
      <w:pPr>
        <w:tabs>
          <w:tab w:pos="1620" w:val="num"/>
        </w:tabs>
        <w:ind w:hanging="360" w:left="1620"/>
      </w:pPr>
    </w:lvl>
    <w:lvl w:ilvl="2">
      <w:start w:val="1"/>
      <w:numFmt w:val="lowerRoman"/>
      <w:lvlText w:val="%3."/>
      <w:lvlJc w:val="right"/>
      <w:pPr>
        <w:tabs>
          <w:tab w:pos="2340" w:val="num"/>
        </w:tabs>
        <w:ind w:hanging="180" w:left="2340"/>
      </w:pPr>
    </w:lvl>
    <w:lvl w:ilvl="3">
      <w:start w:val="1"/>
      <w:numFmt w:val="decimal"/>
      <w:lvlText w:val="%4."/>
      <w:lvlJc w:val="left"/>
      <w:pPr>
        <w:tabs>
          <w:tab w:pos="3060" w:val="num"/>
        </w:tabs>
        <w:ind w:hanging="360" w:left="3060"/>
      </w:pPr>
    </w:lvl>
    <w:lvl w:ilvl="4">
      <w:start w:val="1"/>
      <w:numFmt w:val="lowerLetter"/>
      <w:lvlText w:val="%5."/>
      <w:lvlJc w:val="left"/>
      <w:pPr>
        <w:tabs>
          <w:tab w:pos="3780" w:val="num"/>
        </w:tabs>
        <w:ind w:hanging="360" w:left="3780"/>
      </w:pPr>
    </w:lvl>
    <w:lvl w:ilvl="5">
      <w:start w:val="1"/>
      <w:numFmt w:val="lowerRoman"/>
      <w:lvlText w:val="%6."/>
      <w:lvlJc w:val="right"/>
      <w:pPr>
        <w:tabs>
          <w:tab w:pos="4500" w:val="num"/>
        </w:tabs>
        <w:ind w:hanging="180" w:left="4500"/>
      </w:pPr>
    </w:lvl>
    <w:lvl w:ilvl="6">
      <w:start w:val="1"/>
      <w:numFmt w:val="decimal"/>
      <w:lvlText w:val="%7."/>
      <w:lvlJc w:val="left"/>
      <w:pPr>
        <w:tabs>
          <w:tab w:pos="5220" w:val="num"/>
        </w:tabs>
        <w:ind w:hanging="360" w:left="5220"/>
      </w:pPr>
    </w:lvl>
    <w:lvl w:ilvl="7">
      <w:start w:val="1"/>
      <w:numFmt w:val="lowerLetter"/>
      <w:lvlText w:val="%8."/>
      <w:lvlJc w:val="left"/>
      <w:pPr>
        <w:tabs>
          <w:tab w:pos="5940" w:val="num"/>
        </w:tabs>
        <w:ind w:hanging="360" w:left="5940"/>
      </w:pPr>
    </w:lvl>
    <w:lvl w:ilvl="8">
      <w:start w:val="1"/>
      <w:numFmt w:val="lowerRoman"/>
      <w:lvlText w:val="%9."/>
      <w:lvlJc w:val="right"/>
      <w:pPr>
        <w:tabs>
          <w:tab w:pos="6660" w:val="num"/>
        </w:tabs>
        <w:ind w:hanging="180" w:left="6660"/>
      </w:pPr>
    </w:lvl>
  </w:abstractNum>
  <w:abstractNum w:abstractNumId="2">
    <w:lvl w:ilvl="0">
      <w:start w:val="1"/>
      <w:numFmt w:val="bullet"/>
      <w:lvlText w:val="-"/>
      <w:lvlJc w:val="left"/>
      <w:pPr>
        <w:ind w:hanging="360" w:left="1080"/>
      </w:pPr>
      <w:rPr>
        <w:rFonts w:ascii="Calibri" w:cs="Calibri" w:hAnsi="Calibri"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Times New Roman" w:cs="Times New Roman" w:eastAsia="Times New Roman" w:hAnsi="Times New Roman"/>
      <w:color w:val="auto"/>
      <w:sz w:val="20"/>
      <w:szCs w:val="20"/>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zxx-" w:eastAsia="zxx-" w:val="zxx-"/>
    </w:rPr>
  </w:style>
  <w:style w:styleId="style17" w:type="character">
    <w:name w:val="Pie de página Car"/>
    <w:basedOn w:val="style15"/>
    <w:next w:val="style17"/>
    <w:rPr>
      <w:rFonts w:cs="Times New Roman" w:eastAsia="Times New Roman"/>
      <w:szCs w:val="20"/>
      <w:lang w:eastAsia="zh-CN"/>
    </w:rPr>
  </w:style>
  <w:style w:styleId="style18" w:type="character">
    <w:name w:val="Encabezado Car"/>
    <w:basedOn w:val="style15"/>
    <w:next w:val="style18"/>
    <w:rPr>
      <w:rFonts w:cs="Times New Roman" w:eastAsia="Times New Roman"/>
      <w:szCs w:val="20"/>
      <w:lang w:eastAsia="zh-CN"/>
    </w:rPr>
  </w:style>
  <w:style w:styleId="style19" w:type="character">
    <w:name w:val="annotation reference"/>
    <w:basedOn w:val="style15"/>
    <w:next w:val="style19"/>
    <w:rPr>
      <w:sz w:val="16"/>
      <w:szCs w:val="16"/>
    </w:rPr>
  </w:style>
  <w:style w:styleId="style20" w:type="character">
    <w:name w:val="Texto comentario Car"/>
    <w:basedOn w:val="style15"/>
    <w:next w:val="style20"/>
    <w:rPr>
      <w:rFonts w:cs="Mangal" w:eastAsia="WenQuanYi Micro Hei"/>
      <w:szCs w:val="18"/>
      <w:lang w:bidi="hi-IN" w:eastAsia="zh-CN"/>
    </w:rPr>
  </w:style>
  <w:style w:styleId="style21" w:type="character">
    <w:name w:val="Texto de globo Car"/>
    <w:basedOn w:val="style15"/>
    <w:next w:val="style21"/>
    <w:rPr>
      <w:rFonts w:ascii="Tahoma" w:cs="Tahoma" w:eastAsia="Times New Roman" w:hAnsi="Tahoma"/>
      <w:sz w:val="16"/>
      <w:szCs w:val="16"/>
      <w:lang w:eastAsia="zh-CN"/>
    </w:rPr>
  </w:style>
  <w:style w:styleId="style22" w:type="character">
    <w:name w:val="Asunto del comentario Car"/>
    <w:basedOn w:val="style20"/>
    <w:next w:val="style22"/>
    <w:rPr>
      <w:rFonts w:cs="Times New Roman" w:eastAsia="Times New Roman"/>
      <w:b/>
      <w:bCs/>
      <w:szCs w:val="20"/>
      <w:lang w:bidi="hi-IN" w:eastAsia="zh-CN"/>
    </w:rPr>
  </w:style>
  <w:style w:styleId="style23" w:type="character">
    <w:name w:val="ListLabel 1"/>
    <w:next w:val="style23"/>
    <w:rPr>
      <w:rFonts w:cs="Times New Roman" w:eastAsia="Times New Roman"/>
    </w:rPr>
  </w:style>
  <w:style w:styleId="style24" w:type="character">
    <w:name w:val="ListLabel 2"/>
    <w:next w:val="style24"/>
    <w:rPr>
      <w:rFonts w:cs="Courier New"/>
    </w:rPr>
  </w:style>
  <w:style w:styleId="style25" w:type="character">
    <w:name w:val="ListLabel 3"/>
    <w:next w:val="style25"/>
    <w:rPr>
      <w:rFonts w:cs=""/>
    </w:rPr>
  </w:style>
  <w:style w:styleId="style26" w:type="paragraph">
    <w:name w:val="Heading"/>
    <w:basedOn w:val="style0"/>
    <w:next w:val="style27"/>
    <w:pPr>
      <w:keepNext/>
      <w:spacing w:after="120" w:before="240"/>
      <w:contextualSpacing w:val="false"/>
    </w:pPr>
    <w:rPr>
      <w:rFonts w:ascii="Liberation Sans" w:cs="Lohit Hindi" w:eastAsia="DejaVu Sans"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Footer"/>
    <w:basedOn w:val="style0"/>
    <w:next w:val="style31"/>
    <w:pPr>
      <w:tabs>
        <w:tab w:leader="none" w:pos="4419" w:val="center"/>
        <w:tab w:leader="none" w:pos="8838" w:val="right"/>
      </w:tabs>
    </w:pPr>
    <w:rPr/>
  </w:style>
  <w:style w:styleId="style32" w:type="paragraph">
    <w:name w:val="List Paragraph"/>
    <w:basedOn w:val="style0"/>
    <w:next w:val="style32"/>
    <w:pPr>
      <w:widowControl/>
      <w:suppressAutoHyphens w:val="false"/>
      <w:spacing w:after="200" w:before="0" w:line="276" w:lineRule="auto"/>
      <w:ind w:hanging="0" w:left="720" w:right="0"/>
      <w:contextualSpacing/>
    </w:pPr>
    <w:rPr>
      <w:rFonts w:ascii="Calibri" w:eastAsia="Calibri" w:hAnsi="Calibri"/>
      <w:sz w:val="22"/>
      <w:szCs w:val="22"/>
      <w:lang w:eastAsia="en-US"/>
    </w:rPr>
  </w:style>
  <w:style w:styleId="style33" w:type="paragraph">
    <w:name w:val="Header"/>
    <w:basedOn w:val="style0"/>
    <w:next w:val="style33"/>
    <w:pPr>
      <w:tabs>
        <w:tab w:leader="none" w:pos="4680" w:val="center"/>
        <w:tab w:leader="none" w:pos="9360" w:val="right"/>
      </w:tabs>
    </w:pPr>
    <w:rPr/>
  </w:style>
  <w:style w:styleId="style34" w:type="paragraph">
    <w:name w:val="Body Text 21"/>
    <w:basedOn w:val="style0"/>
    <w:next w:val="style34"/>
    <w:pPr>
      <w:tabs>
        <w:tab w:leader="none" w:pos="284" w:val="left"/>
        <w:tab w:leader="none" w:pos="567" w:val="left"/>
        <w:tab w:leader="none" w:pos="851" w:val="left"/>
      </w:tabs>
      <w:ind w:hanging="851" w:left="851" w:right="0"/>
      <w:jc w:val="both"/>
    </w:pPr>
    <w:rPr>
      <w:rFonts w:eastAsia="WenQuanYi Micro Hei"/>
      <w:lang w:bidi="hi-IN"/>
    </w:rPr>
  </w:style>
  <w:style w:styleId="style35" w:type="paragraph">
    <w:name w:val="annotation text"/>
    <w:basedOn w:val="style0"/>
    <w:next w:val="style35"/>
    <w:pPr/>
    <w:rPr>
      <w:rFonts w:cs="Mangal" w:eastAsia="WenQuanYi Micro Hei"/>
      <w:szCs w:val="18"/>
      <w:lang w:bidi="hi-IN"/>
    </w:rPr>
  </w:style>
  <w:style w:styleId="style36" w:type="paragraph">
    <w:name w:val="Balloon Text"/>
    <w:basedOn w:val="style0"/>
    <w:next w:val="style36"/>
    <w:pPr/>
    <w:rPr>
      <w:rFonts w:ascii="Tahoma" w:cs="Tahoma" w:hAnsi="Tahoma"/>
      <w:sz w:val="16"/>
      <w:szCs w:val="16"/>
    </w:rPr>
  </w:style>
  <w:style w:styleId="style37" w:type="paragraph">
    <w:name w:val="annotation subject"/>
    <w:basedOn w:val="style35"/>
    <w:next w:val="style37"/>
    <w:pPr/>
    <w:rPr>
      <w:rFonts w:cs="Times New Roman" w:eastAsia="Times New Roman"/>
      <w:b/>
      <w:bCs/>
      <w:szCs w:val="20"/>
      <w:lang w:bidi="ar-SA"/>
    </w:rPr>
  </w:style>
  <w:style w:styleId="style38" w:type="paragraph">
    <w:name w:val="Frame Contents"/>
    <w:basedOn w:val="style0"/>
    <w:next w:val="style3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www.iccat.int/" TargetMode="External"/><Relationship Id="rId5" Type="http://schemas.openxmlformats.org/officeDocument/2006/relationships/image" Target="media/image3.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iccat.int/Madrid.htm" TargetMode="External"/><Relationship Id="rId9" Type="http://schemas.openxmlformats.org/officeDocument/2006/relationships/hyperlink" Target="mailto:laurie.kell@iccat.int" TargetMode="External"/><Relationship Id="rId10" Type="http://schemas.openxmlformats.org/officeDocument/2006/relationships/hyperlink" Target="mailto:info@iccat.int" TargetMode="External"/><Relationship Id="rId11" Type="http://schemas.openxmlformats.org/officeDocument/2006/relationships/hyperlink" Target="mailto:info@iccat.int" TargetMode="External"/><Relationship Id="rId12" Type="http://schemas.openxmlformats.org/officeDocument/2006/relationships/hyperlink" Target="http://www.pastoral.or.jp/" TargetMode="External"/><Relationship Id="rId13" Type="http://schemas.openxmlformats.org/officeDocument/2006/relationships/hyperlink" Target="http://www.ac-hotels.com/" TargetMode="External"/><Relationship Id="rId14" Type="http://schemas.openxmlformats.org/officeDocument/2006/relationships/hyperlink" Target="http://www.hoteles-silken.com/hotel-puerta-america-madrid/" TargetMode="External"/><Relationship Id="rId15" Type="http://schemas.openxmlformats.org/officeDocument/2006/relationships/hyperlink" Target="http://www.iccat.int/en/Madrid.htm" TargetMode="External"/><Relationship Id="rId16" Type="http://schemas.openxmlformats.org/officeDocument/2006/relationships/footer" Target="footer3.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2014-02-20T19:17:00Z</dcterms:created>
  <dc:creator>Philomena Seidita</dc:creator>
  <cp:lastModifiedBy>Josu Santiago</cp:lastModifiedBy>
  <dcterms:modified xsi:type="dcterms:W3CDTF">2014-02-20T19:17:00Z</dcterms:modified>
  <cp:revision>2</cp:revision>
</cp:coreProperties>
</file>