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xtrait-du-jugement-de-divorce"/>
    <w:p>
      <w:pPr>
        <w:pStyle w:val="Heading1"/>
      </w:pPr>
      <w:r>
        <w:t xml:space="preserve">Extrait du jugement de divorce</w:t>
      </w:r>
    </w:p>
    <w:p>
      <w:pPr>
        <w:pStyle w:val="FirstParagraph"/>
      </w:pPr>
      <w:r>
        <w:rPr>
          <w:iCs/>
          <w:i/>
        </w:rPr>
        <w:t xml:space="preserve">Document fictif, rédigé pour l’exercice.</w:t>
      </w:r>
    </w:p>
    <w:p>
      <w:pPr>
        <w:pStyle w:val="BodyText"/>
      </w:pPr>
      <w:r>
        <w:rPr>
          <w:bCs/>
          <w:b/>
        </w:rPr>
        <w:t xml:space="preserve">COUR SUPÉRIEURE (Chambre de la famille)</w:t>
      </w:r>
      <w:r>
        <w:br/>
      </w:r>
      <w:r>
        <w:rPr>
          <w:bCs/>
          <w:b/>
        </w:rPr>
        <w:t xml:space="preserve">District de Saint-François</w:t>
      </w:r>
      <w:r>
        <w:br/>
      </w:r>
      <w:r>
        <w:rPr>
          <w:bCs/>
          <w:b/>
        </w:rPr>
        <w:t xml:space="preserve">Date :</w:t>
      </w:r>
      <w:r>
        <w:t xml:space="preserve"> </w:t>
      </w:r>
      <w:r>
        <w:t xml:space="preserve">12 avril 2013</w:t>
      </w:r>
    </w:p>
    <w:p>
      <w:pPr>
        <w:pStyle w:val="BodyText"/>
      </w:pPr>
      <w:r>
        <w:rPr>
          <w:bCs/>
          <w:b/>
        </w:rPr>
        <w:t xml:space="preserve">MÉLANIE PAQUETTE</w:t>
      </w:r>
      <w:r>
        <w:t xml:space="preserve">, demanderesse</w:t>
      </w:r>
      <w:r>
        <w:br/>
      </w:r>
      <w:r>
        <w:t xml:space="preserve">c.</w:t>
      </w:r>
      <w:r>
        <w:br/>
      </w:r>
      <w:r>
        <w:rPr>
          <w:bCs/>
          <w:b/>
        </w:rPr>
        <w:t xml:space="preserve">JULIEN FORTIER</w:t>
      </w:r>
      <w:r>
        <w:t xml:space="preserve">, défendeur</w:t>
      </w:r>
    </w:p>
    <w:bookmarkStart w:id="20" w:name="jugement"/>
    <w:p>
      <w:pPr>
        <w:pStyle w:val="Heading2"/>
      </w:pPr>
      <w:r>
        <w:t xml:space="preserve">Jugement</w:t>
      </w:r>
    </w:p>
    <w:p>
      <w:pPr>
        <w:pStyle w:val="FirstParagraph"/>
      </w:pPr>
      <w:r>
        <w:t xml:space="preserve">Le Tribunal, saisi d’une demande conjointe en divorce sur projet d’accord :</w:t>
      </w:r>
    </w:p>
    <w:p>
      <w:pPr>
        <w:pStyle w:val="BodyText"/>
      </w:pPr>
      <w:r>
        <w:rPr>
          <w:bCs/>
          <w:b/>
        </w:rPr>
        <w:t xml:space="preserve">PRONONCE</w:t>
      </w:r>
      <w:r>
        <w:t xml:space="preserve"> </w:t>
      </w:r>
      <w:r>
        <w:t xml:space="preserve">le divorce des parties, dont le mariage a été célébré le 18 août 2007 ;</w:t>
      </w:r>
    </w:p>
    <w:p>
      <w:pPr>
        <w:pStyle w:val="BodyText"/>
      </w:pPr>
      <w:r>
        <w:rPr>
          <w:bCs/>
          <w:b/>
        </w:rPr>
        <w:t xml:space="preserve">ENTÉRINE</w:t>
      </w:r>
      <w:r>
        <w:t xml:space="preserve"> </w:t>
      </w:r>
      <w:r>
        <w:t xml:space="preserve">la convention sur les mesures accessoires signée par les parties le 20 mars 2013 et</w:t>
      </w:r>
      <w:r>
        <w:t xml:space="preserve"> </w:t>
      </w:r>
      <w:r>
        <w:rPr>
          <w:bCs/>
          <w:b/>
        </w:rPr>
        <w:t xml:space="preserve">ORDONNE</w:t>
      </w:r>
      <w:r>
        <w:t xml:space="preserve"> </w:t>
      </w:r>
      <w:r>
        <w:t xml:space="preserve">aux parties de s’y conformer.</w:t>
      </w:r>
    </w:p>
    <w:bookmarkEnd w:id="20"/>
    <w:bookmarkStart w:id="21" w:name="Xf48c0b2f0f19eb3d25e7a71d7e4890802f5953d"/>
    <w:p>
      <w:pPr>
        <w:pStyle w:val="Heading2"/>
      </w:pPr>
      <w:r>
        <w:t xml:space="preserve">Extraits de la convention sur les mesures accessoires</w:t>
      </w:r>
    </w:p>
    <w:p>
      <w:pPr>
        <w:pStyle w:val="FirstParagraph"/>
      </w:pPr>
      <w:r>
        <w:rPr>
          <w:bCs/>
          <w:b/>
        </w:rPr>
        <w:t xml:space="preserve">4. Garde.</w:t>
      </w:r>
      <w:r>
        <w:t xml:space="preserve"> </w:t>
      </w:r>
      <w:r>
        <w:t xml:space="preserve">Les parties exercent la garde partagée de leur fils Samuel, né le 7 juin 2009, selon une alternance d’une semaine.</w:t>
      </w:r>
    </w:p>
    <w:p>
      <w:pPr>
        <w:pStyle w:val="BodyText"/>
      </w:pPr>
      <w:r>
        <w:rPr>
          <w:bCs/>
          <w:b/>
        </w:rPr>
        <w:t xml:space="preserve">5. Pension alimentaire.</w:t>
      </w:r>
      <w:r>
        <w:t xml:space="preserve"> </w:t>
      </w:r>
      <w:r>
        <w:t xml:space="preserve">Monsieur verse à Madame, au bénéfice de l’enfant, la pension fixée selon le formulaire annexé. La pension est payable tant que l’enfant est à charge, y compris pendant ses études à temps plein.</w:t>
      </w:r>
    </w:p>
    <w:p>
      <w:pPr>
        <w:pStyle w:val="BodyText"/>
      </w:pPr>
      <w:r>
        <w:rPr>
          <w:bCs/>
          <w:b/>
        </w:rPr>
        <w:t xml:space="preserve">9. Assurance vie.</w:t>
      </w:r>
      <w:r>
        <w:t xml:space="preserve"> </w:t>
      </w:r>
      <w:r>
        <w:t xml:space="preserve">Pour garantir le paiement de la pension alimentaire, Monsieur s’engage à maintenir en vigueur une assurance sur sa vie d’au moins DEUX CENT CINQUANTE MILLE DOLLARS (250 000 $) et à désigner Madame, en fiducie pour l’enfant, bénéficiaire irrévocable de cette assurance, jusqu’à ce que l’enfant ait atteint l’âge de VINGT-CINQ (25) ans ou ait terminé ses études à temps plein, selon la première éventualité.</w:t>
      </w:r>
    </w:p>
    <w:p>
      <w:pPr>
        <w:pStyle w:val="BodyText"/>
      </w:pPr>
      <w:r>
        <w:rPr>
          <w:bCs/>
          <w:b/>
        </w:rPr>
        <w:t xml:space="preserve">10. Succession.</w:t>
      </w:r>
      <w:r>
        <w:t xml:space="preserve"> </w:t>
      </w:r>
      <w:r>
        <w:t xml:space="preserve">Les obligations alimentaires de Monsieur lient sa succession.</w:t>
      </w:r>
    </w:p>
    <w:p>
      <w:pPr>
        <w:pStyle w:val="BodyText"/>
      </w:pPr>
      <w:r>
        <w:rPr>
          <w:bCs/>
          <w:b/>
        </w:rPr>
        <w:t xml:space="preserve">14. Renonciation.</w:t>
      </w:r>
      <w:r>
        <w:t xml:space="preserve"> </w:t>
      </w:r>
      <w:r>
        <w:t xml:space="preserve">Sous réserve de ce qui précède, chaque partie renonce à tous les droits qu’elle pourrait avoir dans la succession de l’autre.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2026-10-13T13:50:59Z</dcterms:created>
  <dcterms:modified xsi:type="dcterms:W3CDTF">2026-10-13T13:50:59Z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