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bc743bfe19b7f29388fd6b7d9d1f6e3d36f92ec"/>
    <w:p>
      <w:pPr>
        <w:pStyle w:val="Heading1"/>
      </w:pPr>
      <w:r>
        <w:t xml:space="preserve">IkéÔ c. 123 456 Québec inc. — Mise en contexte et mandat</w:t>
      </w:r>
    </w:p>
    <w:p>
      <w:pPr>
        <w:pStyle w:val="FirstParagraph"/>
      </w:pPr>
      <w:r>
        <w:rPr>
          <w:iCs/>
          <w:i/>
        </w:rPr>
        <w:t xml:space="preserve">Cas fictif — Hackathon CAIJ. Les personnes, les entreprises, les adresses et les faits sont inventés. Le droit, lui, est bien réel : les sources que vous citez doivent exister.</w:t>
      </w:r>
    </w:p>
    <w:bookmarkStart w:id="20" w:name="votre-rôle"/>
    <w:p>
      <w:pPr>
        <w:pStyle w:val="Heading2"/>
      </w:pPr>
      <w:r>
        <w:t xml:space="preserve">Votre rôle</w:t>
      </w:r>
    </w:p>
    <w:p>
      <w:pPr>
        <w:pStyle w:val="FirstParagraph"/>
      </w:pPr>
      <w:r>
        <w:t xml:space="preserve">Vous êtes les avocats de</w:t>
      </w:r>
      <w:r>
        <w:t xml:space="preserve"> </w:t>
      </w:r>
      <w:r>
        <w:rPr>
          <w:bCs/>
          <w:b/>
        </w:rPr>
        <w:t xml:space="preserve">Luxury Furnitures inc.</w:t>
      </w:r>
      <w:r>
        <w:t xml:space="preserve">, qui fait affaire sous le nom</w:t>
      </w:r>
      <w:r>
        <w:t xml:space="preserve"> </w:t>
      </w:r>
      <w:r>
        <w:rPr>
          <w:bCs/>
          <w:b/>
        </w:rPr>
        <w:t xml:space="preserve">IkéÔ</w:t>
      </w:r>
      <w:r>
        <w:t xml:space="preserve">, une entreprise de vente de meubles haut de gamme. Vous agissez en demande contre son vendeur,</w:t>
      </w:r>
      <w:r>
        <w:t xml:space="preserve"> </w:t>
      </w:r>
      <w:r>
        <w:rPr>
          <w:bCs/>
          <w:b/>
        </w:rPr>
        <w:t xml:space="preserve">123 456 Québec inc.</w:t>
      </w:r>
    </w:p>
    <w:bookmarkEnd w:id="20"/>
    <w:bookmarkStart w:id="21" w:name="les-faits"/>
    <w:p>
      <w:pPr>
        <w:pStyle w:val="Heading2"/>
      </w:pPr>
      <w:r>
        <w:t xml:space="preserve">Les faits</w:t>
      </w:r>
    </w:p>
    <w:p>
      <w:pPr>
        <w:pStyle w:val="FirstParagraph"/>
      </w:pPr>
      <w:r>
        <w:t xml:space="preserve">Le 9 octobre 2025, IkéÔ a acheté de 123 456 Québec inc. un immeuble commercial situé au 12 509, boulevard Beauport, dans l’arrondissement de Saint-Laurent, à Montréal, au prix de 2 800 000 $. Elle voulait y aménager, au deuxième étage, son nouveau point de vente, le plus grand à ce jour.</w:t>
      </w:r>
    </w:p>
    <w:p>
      <w:pPr>
        <w:pStyle w:val="BodyText"/>
      </w:pPr>
      <w:r>
        <w:t xml:space="preserve">L’espace semblait parfait : la superficie est importante, et l’immeuble dispose d’un quai de livraison à l’arrière ainsi que d’un monte-charge qui permet d’acheminer les meubles jusqu’au deuxième étage. Ces deux installations ont été construites en 2023 par le vendeur.</w:t>
      </w:r>
    </w:p>
    <w:p>
      <w:pPr>
        <w:pStyle w:val="BodyText"/>
      </w:pPr>
      <w:r>
        <w:t xml:space="preserve">Avant la vente, les courtiers des deux parties ont échangé au sujet d’une « zone grise » entourant les travaux du quai. Un appel a eu lieu le 15 septembre 2025. Les deux courtiers n’en gardent pas le même souvenir. L’acte de vente contient une déclaration du vendeur au sujet des communications de la Ville.</w:t>
      </w:r>
    </w:p>
    <w:p>
      <w:pPr>
        <w:pStyle w:val="BodyText"/>
      </w:pPr>
      <w:r>
        <w:t xml:space="preserve">IkéÔ a aménagé les lieux pendant l’hiver et a ouvert sa succursale le 2 mars 2026. Le 16 mars 2026, deux semaines après l’ouverture, elle a reçu un avis de la Ville de Montréal : les travaux d’aménagement du quai de livraison et d’installation du monte-charge, réalisés en 2023, ne sont pas conformes à la réglementation municipale. Ils auraient notamment été effectués sans les permis requis.</w:t>
      </w:r>
    </w:p>
    <w:p>
      <w:pPr>
        <w:pStyle w:val="BodyText"/>
      </w:pPr>
      <w:r>
        <w:t xml:space="preserve">Quelques jours plus tard, le propriétaire du restaurant situé au rez-de-chaussée a appris à IkéÔ que le vendeur était au courant de la situation, et que ce n’était pas la première intervention de la Ville au sujet de ces travaux. Une demande d’accès à l’information a ensuite permis d’obtenir deux lettres que la Ville avait adressées au vendeur en 2024. Le vendeur n’en avait jamais informé IkéÔ avant la vente.</w:t>
      </w:r>
    </w:p>
    <w:bookmarkEnd w:id="21"/>
    <w:bookmarkStart w:id="22" w:name="où-en-est-le-dossier"/>
    <w:p>
      <w:pPr>
        <w:pStyle w:val="Heading2"/>
      </w:pPr>
      <w:r>
        <w:t xml:space="preserve">Où en est le dossier</w:t>
      </w:r>
    </w:p>
    <w:p>
      <w:pPr>
        <w:numPr>
          <w:ilvl w:val="0"/>
          <w:numId w:val="1001"/>
        </w:numPr>
        <w:pStyle w:val="Compact"/>
      </w:pPr>
      <w:r>
        <w:t xml:space="preserve">Le 2 avril 2026, IkéÔ a mis le vendeur en demeure.</w:t>
      </w:r>
    </w:p>
    <w:p>
      <w:pPr>
        <w:numPr>
          <w:ilvl w:val="0"/>
          <w:numId w:val="1001"/>
        </w:numPr>
        <w:pStyle w:val="Compact"/>
      </w:pPr>
      <w:r>
        <w:t xml:space="preserve">Le 17 avril 2026, les avocats du vendeur ont nié toute responsabilité et annoncé leurs moyens de défense.</w:t>
      </w:r>
    </w:p>
    <w:p>
      <w:pPr>
        <w:numPr>
          <w:ilvl w:val="0"/>
          <w:numId w:val="1001"/>
        </w:numPr>
        <w:pStyle w:val="Compact"/>
      </w:pPr>
      <w:r>
        <w:t xml:space="preserve">Le monte-charge est hors service depuis le 1er mai 2026.</w:t>
      </w:r>
    </w:p>
    <w:p>
      <w:pPr>
        <w:numPr>
          <w:ilvl w:val="0"/>
          <w:numId w:val="1001"/>
        </w:numPr>
        <w:pStyle w:val="Compact"/>
      </w:pPr>
      <w:r>
        <w:t xml:space="preserve">Aucune entente n’est intervenue. Votre cabinet a le mandat d’introduire le recours devant la Cour supérieure, district de Montréal.</w:t>
      </w:r>
    </w:p>
    <w:bookmarkEnd w:id="22"/>
    <w:bookmarkStart w:id="23" w:name="ce-quon-vous-demande"/>
    <w:p>
      <w:pPr>
        <w:pStyle w:val="Heading2"/>
      </w:pPr>
      <w:r>
        <w:t xml:space="preserve">Ce qu’on vous demande</w:t>
      </w:r>
    </w:p>
    <w:p>
      <w:pPr>
        <w:pStyle w:val="FirstParagraph"/>
      </w:pPr>
      <w:r>
        <w:t xml:space="preserve">Produisez</w:t>
      </w:r>
      <w:r>
        <w:t xml:space="preserve"> </w:t>
      </w:r>
      <w:r>
        <w:rPr>
          <w:bCs/>
          <w:b/>
        </w:rPr>
        <w:t xml:space="preserve">le meilleur argumentaire possible pour IkéÔ</w:t>
      </w:r>
      <w:r>
        <w:t xml:space="preserve">. Il doit :</w:t>
      </w:r>
    </w:p>
    <w:p>
      <w:pPr>
        <w:numPr>
          <w:ilvl w:val="0"/>
          <w:numId w:val="1002"/>
        </w:numPr>
        <w:pStyle w:val="Compact"/>
      </w:pPr>
      <w:r>
        <w:t xml:space="preserve">établir si IkéÔ dispose d’un recours contre son vendeur, et sur quels fondements ;</w:t>
      </w:r>
    </w:p>
    <w:p>
      <w:pPr>
        <w:numPr>
          <w:ilvl w:val="0"/>
          <w:numId w:val="1002"/>
        </w:numPr>
        <w:pStyle w:val="Compact"/>
      </w:pPr>
      <w:r>
        <w:t xml:space="preserve">déterminer la nature de ce recours et les remèdes à demander, en justifiant vos choix ;</w:t>
      </w:r>
    </w:p>
    <w:p>
      <w:pPr>
        <w:numPr>
          <w:ilvl w:val="0"/>
          <w:numId w:val="1002"/>
        </w:numPr>
        <w:pStyle w:val="Compact"/>
      </w:pPr>
      <w:r>
        <w:t xml:space="preserve">s’appuyer sur les pièces du dossier, y compris celles qui nuisent à votre cliente ;</w:t>
      </w:r>
    </w:p>
    <w:p>
      <w:pPr>
        <w:numPr>
          <w:ilvl w:val="0"/>
          <w:numId w:val="1002"/>
        </w:numPr>
        <w:pStyle w:val="Compact"/>
      </w:pPr>
      <w:r>
        <w:t xml:space="preserve">répondre aux moyens que la défense a annoncés, et à ceux qu’elle n’a pas encore annoncés ;</w:t>
      </w:r>
    </w:p>
    <w:p>
      <w:pPr>
        <w:numPr>
          <w:ilvl w:val="0"/>
          <w:numId w:val="1002"/>
        </w:numPr>
        <w:pStyle w:val="Compact"/>
      </w:pPr>
      <w:r>
        <w:t xml:space="preserve">citer avec précision la législation, la jurisprudence et la doctrine. Une source inventée disqualifie.</w:t>
      </w:r>
    </w:p>
    <w:bookmarkEnd w:id="23"/>
    <w:bookmarkStart w:id="24" w:name="les-pièces"/>
    <w:p>
      <w:pPr>
        <w:pStyle w:val="Heading2"/>
      </w:pPr>
      <w:r>
        <w:t xml:space="preserve">Les pièces</w:t>
      </w:r>
    </w:p>
    <w:p>
      <w:pPr>
        <w:pStyle w:val="FirstParagraph"/>
      </w:pPr>
      <w:r>
        <w:rPr>
          <w:bCs/>
          <w:b/>
        </w:rPr>
        <w:t xml:space="preserve">Dossier de la demanderesse (IkéÔ)</w:t>
      </w:r>
    </w:p>
    <w:p>
      <w:pPr>
        <w:numPr>
          <w:ilvl w:val="0"/>
          <w:numId w:val="1003"/>
        </w:numPr>
        <w:pStyle w:val="Compact"/>
      </w:pPr>
      <w:r>
        <w:t xml:space="preserve">P-1 — Acte de vente du 9 octobre 2025</w:t>
      </w:r>
    </w:p>
    <w:p>
      <w:pPr>
        <w:numPr>
          <w:ilvl w:val="0"/>
          <w:numId w:val="1003"/>
        </w:numPr>
        <w:pStyle w:val="Compact"/>
      </w:pPr>
      <w:r>
        <w:t xml:space="preserve">P-2 — Courriels entre les courtiers, du 12 au 14 septembre 2025</w:t>
      </w:r>
    </w:p>
    <w:p>
      <w:pPr>
        <w:numPr>
          <w:ilvl w:val="0"/>
          <w:numId w:val="1003"/>
        </w:numPr>
        <w:pStyle w:val="Compact"/>
      </w:pPr>
      <w:r>
        <w:t xml:space="preserve">P-3 — Courriels entre le courtier d’IkéÔ et son président, 15 septembre 2025</w:t>
      </w:r>
    </w:p>
    <w:p>
      <w:pPr>
        <w:numPr>
          <w:ilvl w:val="0"/>
          <w:numId w:val="1003"/>
        </w:numPr>
        <w:pStyle w:val="Compact"/>
      </w:pPr>
      <w:r>
        <w:t xml:space="preserve">P-4 — Avis de non-conformité de la Ville de Montréal, 16 mars 2026</w:t>
      </w:r>
    </w:p>
    <w:p>
      <w:pPr>
        <w:numPr>
          <w:ilvl w:val="0"/>
          <w:numId w:val="1003"/>
        </w:numPr>
        <w:pStyle w:val="Compact"/>
      </w:pPr>
      <w:r>
        <w:t xml:space="preserve">P-5 — Lettres de la Ville au vendeur en 2024, obtenues par accès à l’information</w:t>
      </w:r>
    </w:p>
    <w:p>
      <w:pPr>
        <w:numPr>
          <w:ilvl w:val="0"/>
          <w:numId w:val="1003"/>
        </w:numPr>
        <w:pStyle w:val="Compact"/>
      </w:pPr>
      <w:r>
        <w:t xml:space="preserve">P-6 — Déclaration sous serment du restaurateur du rez-de-chaussée</w:t>
      </w:r>
    </w:p>
    <w:p>
      <w:pPr>
        <w:numPr>
          <w:ilvl w:val="0"/>
          <w:numId w:val="1003"/>
        </w:numPr>
        <w:pStyle w:val="Compact"/>
      </w:pPr>
      <w:r>
        <w:t xml:space="preserve">P-7 — Mise en demeure du 2 avril 2026</w:t>
      </w:r>
    </w:p>
    <w:p>
      <w:pPr>
        <w:numPr>
          <w:ilvl w:val="0"/>
          <w:numId w:val="1003"/>
        </w:numPr>
        <w:pStyle w:val="Compact"/>
      </w:pPr>
      <w:r>
        <w:t xml:space="preserve">P-8 — Estimation de l’architecte, 28 avril 2026</w:t>
      </w:r>
    </w:p>
    <w:p>
      <w:pPr>
        <w:pStyle w:val="FirstParagraph"/>
      </w:pPr>
      <w:r>
        <w:rPr>
          <w:bCs/>
          <w:b/>
        </w:rPr>
        <w:t xml:space="preserve">Pièces communiquées par la défenderesse (123 456 Québec inc.)</w:t>
      </w:r>
    </w:p>
    <w:p>
      <w:pPr>
        <w:numPr>
          <w:ilvl w:val="0"/>
          <w:numId w:val="1004"/>
        </w:numPr>
        <w:pStyle w:val="Compact"/>
      </w:pPr>
      <w:r>
        <w:t xml:space="preserve">D-1 — Réponse à la mise en demeure, 17 avril 2026</w:t>
      </w:r>
    </w:p>
    <w:p>
      <w:pPr>
        <w:numPr>
          <w:ilvl w:val="0"/>
          <w:numId w:val="1004"/>
        </w:numPr>
        <w:pStyle w:val="Compact"/>
      </w:pPr>
      <w:r>
        <w:t xml:space="preserve">D-2 — Note d’appel de la courtière du vendeur, 15 septembre 2025</w:t>
      </w:r>
    </w:p>
    <w:p>
      <w:pPr>
        <w:numPr>
          <w:ilvl w:val="0"/>
          <w:numId w:val="1004"/>
        </w:numPr>
        <w:pStyle w:val="Compact"/>
      </w:pPr>
      <w:r>
        <w:t xml:space="preserve">D-3 — Lettre de l’entrepreneur qui a réalisé les travaux, 2023</w:t>
      </w:r>
    </w:p>
    <w:bookmarkEnd w:id="24"/>
    <w:bookmarkStart w:id="25" w:name="les-personnes"/>
    <w:p>
      <w:pPr>
        <w:pStyle w:val="Heading2"/>
      </w:pPr>
      <w:r>
        <w:t xml:space="preserve">Les personnes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Georgio Vittali</w:t>
      </w:r>
      <w:r>
        <w:t xml:space="preserve"> </w:t>
      </w:r>
      <w:r>
        <w:t xml:space="preserve">— président-directeur de Luxury Furnitures inc. (IkéÔ), l’acheteur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Daniel Nguyen</w:t>
      </w:r>
      <w:r>
        <w:t xml:space="preserve"> </w:t>
      </w:r>
      <w:r>
        <w:t xml:space="preserve">— courtier de l’acheteur, Courtage Nord-Sud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Guylaine Tremblay</w:t>
      </w:r>
      <w:r>
        <w:t xml:space="preserve"> </w:t>
      </w:r>
      <w:r>
        <w:t xml:space="preserve">— directrice générale de 123 456 Québec inc., le vendeur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Marie-Claude Tremblay</w:t>
      </w:r>
      <w:r>
        <w:t xml:space="preserve"> </w:t>
      </w:r>
      <w:r>
        <w:t xml:space="preserve">— courtière du vendeur, Courtage Tremblay &amp; Associés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Samir Haddad</w:t>
      </w:r>
      <w:r>
        <w:t xml:space="preserve"> </w:t>
      </w:r>
      <w:r>
        <w:t xml:space="preserve">— propriétaire du restaurant Le Comptoir, au rez-de-chaussée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fictif — Hackathon CAIJ. Personnes, entreprises et faits inventés.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2026-10-13T12:57:58Z</dcterms:created>
  <dcterms:modified xsi:type="dcterms:W3CDTF">2026-10-13T12:57:58Z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