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éponse-à-la-mise-en-demeure"/>
    <w:p>
      <w:pPr>
        <w:pStyle w:val="Heading1"/>
      </w:pPr>
      <w:r>
        <w:t xml:space="preserve">RÉPONSE À LA MISE EN DEMEURE</w:t>
      </w:r>
    </w:p>
    <w:p>
      <w:pPr>
        <w:pStyle w:val="FirstParagraph"/>
      </w:pPr>
      <w:r>
        <w:rPr>
          <w:bCs/>
          <w:b/>
        </w:rPr>
        <w:t xml:space="preserve">SOUS TOUTES RÉSERVES</w:t>
      </w:r>
    </w:p>
    <w:p>
      <w:pPr>
        <w:pStyle w:val="BodyText"/>
      </w:pPr>
      <w:r>
        <w:rPr>
          <w:bCs/>
          <w:b/>
        </w:rPr>
        <w:t xml:space="preserve">De :</w:t>
      </w:r>
      <w:r>
        <w:t xml:space="preserve"> </w:t>
      </w:r>
      <w:r>
        <w:t xml:space="preserve">Me Étienne Gagnon, Gagnon Pelletier avocats, pour 123 456 Québec inc.</w:t>
      </w:r>
      <w:r>
        <w:br/>
      </w:r>
      <w:r>
        <w:rPr>
          <w:bCs/>
          <w:b/>
        </w:rPr>
        <w:t xml:space="preserve">À :</w:t>
      </w:r>
      <w:r>
        <w:t xml:space="preserve"> </w:t>
      </w:r>
      <w:r>
        <w:t xml:space="preserve">Me Camille Arsenault, Arsenault Roy avocats</w:t>
      </w:r>
      <w:r>
        <w:br/>
      </w:r>
      <w:r>
        <w:rPr>
          <w:bCs/>
          <w:b/>
        </w:rPr>
        <w:t xml:space="preserve">Date :</w:t>
      </w:r>
      <w:r>
        <w:t xml:space="preserve"> </w:t>
      </w:r>
      <w:r>
        <w:t xml:space="preserve">17 avril 2026</w:t>
      </w:r>
      <w:r>
        <w:br/>
      </w:r>
      <w:r>
        <w:rPr>
          <w:bCs/>
          <w:b/>
        </w:rPr>
        <w:t xml:space="preserve">Mode d’envoi :</w:t>
      </w:r>
      <w:r>
        <w:t xml:space="preserve"> </w:t>
      </w:r>
      <w:r>
        <w:t xml:space="preserve">Courriel</w:t>
      </w:r>
    </w:p>
    <w:p>
      <w:pPr>
        <w:pStyle w:val="BodyText"/>
      </w:pPr>
      <w:r>
        <w:t xml:space="preserve">Chère consœur,</w:t>
      </w:r>
    </w:p>
    <w:p>
      <w:pPr>
        <w:pStyle w:val="BodyText"/>
      </w:pPr>
      <w:r>
        <w:t xml:space="preserve">Nous représentons 123 456 Québec inc. Notre cliente nie toute responsabilité. Elle entend contester le recours annoncé pour les motifs suivants, sans limiter ceux qu’elle pourra faire valoir par la suite.</w:t>
      </w:r>
    </w:p>
    <w:p>
      <w:pPr>
        <w:pStyle w:val="BodyText"/>
      </w:pPr>
      <w:r>
        <w:rPr>
          <w:bCs/>
          <w:b/>
        </w:rPr>
        <w:t xml:space="preserve">1. Votre cliente connaissait la situation.</w:t>
      </w:r>
      <w:r>
        <w:t xml:space="preserve"> </w:t>
      </w:r>
      <w:r>
        <w:t xml:space="preserve">Dès le 12 septembre 2025, son propre courtier parlait par écrit d’une « zone grise » entourant les travaux du quai. Le 15 septembre 2025, la courtière de notre cliente l’a informé de vive voix qu’un inspecteur de la Ville était venu en 2024 et qu’une lettre demandait le dépôt d’une demande de permis. Nous vous transmettons sa note d’appel. Un acheteur ne peut se plaindre de ce qui lui a été dénoncé.</w:t>
      </w:r>
    </w:p>
    <w:p>
      <w:pPr>
        <w:pStyle w:val="BodyText"/>
      </w:pPr>
      <w:r>
        <w:rPr>
          <w:bCs/>
          <w:b/>
        </w:rPr>
        <w:t xml:space="preserve">2. Votre cliente a choisi de ne pas vérifier.</w:t>
      </w:r>
      <w:r>
        <w:t xml:space="preserve"> </w:t>
      </w:r>
      <w:r>
        <w:t xml:space="preserve">L’absence de permis se vérifie par une simple demande à l’arrondissement. Votre cliente est une entreprise avertie, assistée d’un courtier et d’avocats. Elle a préféré ne pas retarder la clôture. À l’article 8 de l’acte, elle reconnaît avoir eu l’occasion de faire toutes les vérifications municipales qu’elle jugeait nécessaires. Elle a acheté l’immeuble « tel que vu et connu ».</w:t>
      </w:r>
    </w:p>
    <w:p>
      <w:pPr>
        <w:pStyle w:val="BodyText"/>
      </w:pPr>
      <w:r>
        <w:rPr>
          <w:bCs/>
          <w:b/>
        </w:rPr>
        <w:t xml:space="preserve">3. La déclaration du vendeur est exacte.</w:t>
      </w:r>
      <w:r>
        <w:t xml:space="preserve"> </w:t>
      </w:r>
      <w:r>
        <w:t xml:space="preserve">À l’article 7 a), notre cliente a déclaré n’avoir connaissance d’aucune communication « formelle équivalent à un avis de non-conformité ». C’est vrai. La lettre du 6 février 2024 précise elle-même qu’elle n’est pas un constat d’infraction et qu’un avis de non-conformité pourrait suivre. Aucun n’a suivi avant la vente. Ce libellé a été négocié entre les parties, et l’acte a été rédigé par les avocats choisis et payés par votre cliente. L’article 7 b) exclut par ailleurs toute reconnaissance de non-conformité.</w:t>
      </w:r>
    </w:p>
    <w:p>
      <w:pPr>
        <w:pStyle w:val="BodyText"/>
      </w:pPr>
      <w:r>
        <w:rPr>
          <w:bCs/>
          <w:b/>
        </w:rPr>
        <w:t xml:space="preserve">4. L’acte limite les garanties.</w:t>
      </w:r>
      <w:r>
        <w:t xml:space="preserve"> </w:t>
      </w:r>
      <w:r>
        <w:t xml:space="preserve">L’article 11 prévoit que l’acte est régi par les seules garanties qui y sont expressément prévues, et l’article 12.2 que l’acte constitue l’entente intégrale. Votre cliente ne peut invoquer des représentations antérieures, ni des garanties que l’acte ne contient pas.</w:t>
      </w:r>
    </w:p>
    <w:p>
      <w:pPr>
        <w:pStyle w:val="BodyText"/>
      </w:pPr>
      <w:r>
        <w:rPr>
          <w:bCs/>
          <w:b/>
        </w:rPr>
        <w:t xml:space="preserve">5. Notre cliente était de bonne foi.</w:t>
      </w:r>
      <w:r>
        <w:t xml:space="preserve"> </w:t>
      </w:r>
      <w:r>
        <w:t xml:space="preserve">Elle n’est pas constructeur. Elle a confié les travaux de 2023 à un entrepreneur licencié, qui lui a écrit qu’aucun permis n’était requis. Nous vous transmettons cette lettre. Elle n’a jamais cherché à tromper qui que ce soit.</w:t>
      </w:r>
    </w:p>
    <w:p>
      <w:pPr>
        <w:pStyle w:val="BodyText"/>
      </w:pPr>
      <w:r>
        <w:rPr>
          <w:bCs/>
          <w:b/>
        </w:rPr>
        <w:t xml:space="preserve">6. Le témoignage de M. Haddad n’a aucune valeur.</w:t>
      </w:r>
      <w:r>
        <w:t xml:space="preserve"> </w:t>
      </w:r>
      <w:r>
        <w:t xml:space="preserve">M. Haddad poursuit notre cliente pour 42 000 $. Il est aujourd’hui le locataire de la vôtre, à des conditions avantageuses. Mme Tremblay nie avoir tenu les propos qu’il lui prête.</w:t>
      </w:r>
    </w:p>
    <w:p>
      <w:pPr>
        <w:pStyle w:val="BodyText"/>
      </w:pPr>
      <w:r>
        <w:rPr>
          <w:bCs/>
          <w:b/>
        </w:rPr>
        <w:t xml:space="preserve">7. Les dommages réclamés sont exagérés et, pour l’essentiel, hypothétiques.</w:t>
      </w:r>
      <w:r>
        <w:t xml:space="preserve"> </w:t>
      </w:r>
      <w:r>
        <w:t xml:space="preserve">Aucune demande de dérogation n’a encore été déposée. Rien n’indique que le quai devra être démoli. Votre cliente a par ailleurs engagé 1 150 000 $ d’aménagements sans avoir fait la moindre vérification : elle doit en assumer les conséquences. L’annulation de la vente est exclue, l’immeuble ayant été transformé.</w:t>
      </w:r>
    </w:p>
    <w:p>
      <w:pPr>
        <w:pStyle w:val="BodyText"/>
      </w:pPr>
      <w:r>
        <w:t xml:space="preserve">Notre cliente demeure disposée à collaborer aux démarches de régularisation auprès de l’arrondissement, sans admission.</w:t>
      </w:r>
    </w:p>
    <w:p>
      <w:pPr>
        <w:pStyle w:val="BodyText"/>
      </w:pPr>
      <w:r>
        <w:t xml:space="preserve">Veuillez agréer, chère consœur, nos salutations distinguées.</w:t>
      </w:r>
    </w:p>
    <w:p>
      <w:pPr>
        <w:pStyle w:val="BodyText"/>
      </w:pPr>
      <w:r>
        <w:rPr>
          <w:bCs/>
          <w:b/>
        </w:rPr>
        <w:t xml:space="preserve">Me Étienne Gagnon</w:t>
      </w:r>
      <w:r>
        <w:br/>
      </w:r>
      <w:r>
        <w:t xml:space="preserve">Gagnon Pelletier avocats</w:t>
      </w:r>
    </w:p>
    <w:p>
      <w:pPr>
        <w:numPr>
          <w:ilvl w:val="0"/>
          <w:numId w:val="1001"/>
        </w:numPr>
        <w:pStyle w:val="Compact"/>
      </w:pPr>
    </w:p>
    <w:p>
      <w:pPr>
        <w:numPr>
          <w:ilvl w:val="1"/>
          <w:numId w:val="1002"/>
        </w:numPr>
        <w:pStyle w:val="Compact"/>
      </w:pPr>
      <w:r>
        <w:t xml:space="preserve">Note d’appel du 15 septembre 2025 ; lettre de Constructions Rivard inc. du 3 avril 2023</w:t>
      </w:r>
    </w:p>
    <w:p>
      <w:r>
        <w:pict>
          <v:rect style="width:0;height:1.5pt" o:hralign="center" o:hrstd="t" o:hr="t"/>
        </w:pict>
      </w:r>
    </w:p>
    <w:p>
      <w:pPr>
        <w:pStyle w:val="FirstParagraph"/>
      </w:pPr>
      <w:r>
        <w:rPr>
          <w:iCs/>
          <w:i/>
        </w:rPr>
        <w:t xml:space="preserve">Document fictif — Hackathon CAIJ. Personnes, entreprises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6">
    <w:nsid w:val="A997116"/>
    <w:multiLevelType w:val="multilevel"/>
    <w:lvl w:ilvl="0">
      <w:start w:val="16"/>
      <w:numFmt w:val="lowerLetter"/>
      <w:lvlText w:val="%1."/>
      <w:lvlJc w:val="left"/>
      <w:pPr>
        <w:ind w:left="720" w:hanging="480"/>
      </w:pPr>
    </w:lvl>
    <w:lvl w:ilvl="1">
      <w:start w:val="16"/>
      <w:numFmt w:val="lowerLetter"/>
      <w:lvlText w:val="%2."/>
      <w:lvlJc w:val="left"/>
      <w:pPr>
        <w:ind w:left="1440" w:hanging="480"/>
      </w:pPr>
    </w:lvl>
    <w:lvl w:ilvl="2">
      <w:start w:val="16"/>
      <w:numFmt w:val="lowerLetter"/>
      <w:lvlText w:val="%3."/>
      <w:lvlJc w:val="left"/>
      <w:pPr>
        <w:ind w:left="2160" w:hanging="480"/>
      </w:pPr>
    </w:lvl>
    <w:lvl w:ilvl="3">
      <w:start w:val="16"/>
      <w:numFmt w:val="lowerLetter"/>
      <w:lvlText w:val="%4."/>
      <w:lvlJc w:val="left"/>
      <w:pPr>
        <w:ind w:left="2880" w:hanging="480"/>
      </w:pPr>
    </w:lvl>
    <w:lvl w:ilvl="4">
      <w:start w:val="16"/>
      <w:numFmt w:val="lowerLetter"/>
      <w:lvlText w:val="%5."/>
      <w:lvlJc w:val="left"/>
      <w:pPr>
        <w:ind w:left="3600" w:hanging="480"/>
      </w:pPr>
    </w:lvl>
    <w:lvl w:ilvl="5">
      <w:start w:val="16"/>
      <w:numFmt w:val="lowerLetter"/>
      <w:lvlText w:val="%6."/>
      <w:lvlJc w:val="left"/>
      <w:pPr>
        <w:ind w:left="4320" w:hanging="480"/>
      </w:pPr>
    </w:lvl>
    <w:lvl w:ilvl="6">
      <w:start w:val="16"/>
      <w:numFmt w:val="lowerLetter"/>
      <w:lvlText w:val="%7."/>
      <w:lvlJc w:val="left"/>
      <w:pPr>
        <w:ind w:left="5040" w:hanging="480"/>
      </w:pPr>
    </w:lvl>
    <w:lvl w:ilvl="7">
      <w:start w:val="16"/>
      <w:numFmt w:val="lowerLetter"/>
      <w:lvlText w:val="%8."/>
      <w:lvlJc w:val="left"/>
      <w:pPr>
        <w:ind w:left="5760" w:hanging="480"/>
      </w:pPr>
    </w:lvl>
    <w:lvl w:ilvl="8">
      <w:start w:val="16"/>
      <w:numFmt w:val="lowerLetter"/>
      <w:lvlText w:val="%9."/>
      <w:lvlJc w:val="left"/>
      <w:pPr>
        <w:ind w:left="6480" w:hanging="480"/>
      </w:pPr>
    </w:lvl>
  </w:abstractNum>
  <w:abstractNum w:abstractNumId="997110">
    <w:nsid w:val="A9971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num w:numId="1000">
    <w:abstractNumId w:val="990"/>
  </w:num>
  <w:num w:numId="1001">
    <w:abstractNumId w:val="997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2">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