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e-au-dossier"/>
    <w:p>
      <w:pPr>
        <w:pStyle w:val="Heading1"/>
      </w:pPr>
      <w:r>
        <w:t xml:space="preserve">NOTE AU DOSSIER</w:t>
      </w:r>
    </w:p>
    <w:p>
      <w:pPr>
        <w:pStyle w:val="FirstParagraph"/>
      </w:pPr>
      <w:r>
        <w:rPr>
          <w:bCs/>
          <w:b/>
        </w:rPr>
        <w:t xml:space="preserve">Courtage Tremblay &amp; Associés</w:t>
      </w:r>
      <w:r>
        <w:br/>
      </w:r>
      <w:r>
        <w:rPr>
          <w:bCs/>
          <w:b/>
        </w:rPr>
        <w:t xml:space="preserve">Dossier :</w:t>
      </w:r>
      <w:r>
        <w:t xml:space="preserve"> </w:t>
      </w:r>
      <w:r>
        <w:t xml:space="preserve">123 456 Québec inc. — vente du 12 509, boulevard Beauport</w:t>
      </w:r>
      <w:r>
        <w:br/>
      </w:r>
      <w:r>
        <w:rPr>
          <w:bCs/>
          <w:b/>
        </w:rPr>
        <w:t xml:space="preserve">Rédigée par :</w:t>
      </w:r>
      <w:r>
        <w:t xml:space="preserve"> </w:t>
      </w:r>
      <w:r>
        <w:t xml:space="preserve">Marie-Claude Tremblay, courtière immobilière</w:t>
      </w:r>
      <w:r>
        <w:br/>
      </w:r>
      <w:r>
        <w:rPr>
          <w:bCs/>
          <w:b/>
        </w:rPr>
        <w:t xml:space="preserve">Date de la note :</w:t>
      </w:r>
      <w:r>
        <w:t xml:space="preserve"> </w:t>
      </w:r>
      <w:r>
        <w:t xml:space="preserve">15 septembre 2025, 14 h 30</w:t>
      </w:r>
    </w:p>
    <w:p>
      <w:pPr>
        <w:pStyle w:val="BodyText"/>
      </w:pPr>
      <w:r>
        <w:rPr>
          <w:bCs/>
          <w:b/>
        </w:rPr>
        <w:t xml:space="preserve">Objet : appel avec Daniel Nguyen (Courtage Nord-Sud), 15 septembre 2025, de 10 h 00 à 10 h 20 environ</w:t>
      </w:r>
    </w:p>
    <w:p>
      <w:pPr>
        <w:numPr>
          <w:ilvl w:val="0"/>
          <w:numId w:val="1001"/>
        </w:numPr>
        <w:pStyle w:val="Compact"/>
      </w:pPr>
      <w:r>
        <w:t xml:space="preserve">Je fais le point sur ce que Guylaine a retrouvé : des échanges avec la Ville datant de 2024 au sujet du quai. Un inspecteur est passé. Une lettre demande de déposer une demande de permis. Pas d’amende, pas de constat d’infraction, rien depuis plus d’un an.</w:t>
      </w:r>
    </w:p>
    <w:p>
      <w:pPr>
        <w:numPr>
          <w:ilvl w:val="0"/>
          <w:numId w:val="1001"/>
        </w:numPr>
        <w:pStyle w:val="Compact"/>
      </w:pPr>
      <w:r>
        <w:t xml:space="preserve">Je précise que le vendeur n’est pas en mesure de confirmer que les travaux de 2023 ont fait l’objet d’un permis.</w:t>
      </w:r>
    </w:p>
    <w:p>
      <w:pPr>
        <w:numPr>
          <w:ilvl w:val="0"/>
          <w:numId w:val="1001"/>
        </w:numPr>
        <w:pStyle w:val="Compact"/>
      </w:pPr>
      <w:r>
        <w:t xml:space="preserve">D. N. demande si la Ville a émis un avis de non-conformité. Je réponds que non, pas à la connaissance du vendeur.</w:t>
      </w:r>
    </w:p>
    <w:p>
      <w:pPr>
        <w:numPr>
          <w:ilvl w:val="0"/>
          <w:numId w:val="1001"/>
        </w:numPr>
        <w:pStyle w:val="Compact"/>
      </w:pPr>
      <w:r>
        <w:t xml:space="preserve">D. N. dit que son client veut fermer le 9 octobre et qu’il ne veut pas rouvrir la vérification. Il parle d’une déclaration du vendeur dans l’acte.</w:t>
      </w:r>
    </w:p>
    <w:p>
      <w:pPr>
        <w:numPr>
          <w:ilvl w:val="0"/>
          <w:numId w:val="1001"/>
        </w:numPr>
        <w:pStyle w:val="Compact"/>
      </w:pPr>
      <w:r>
        <w:t xml:space="preserve">Je suggère qu’ils fassent leur propre vérification à l’arrondissement s’ils veulent en avoir le cœur net.</w:t>
      </w:r>
    </w:p>
    <w:p>
      <w:pPr>
        <w:numPr>
          <w:ilvl w:val="0"/>
          <w:numId w:val="1001"/>
        </w:numPr>
        <w:pStyle w:val="Compact"/>
      </w:pPr>
      <w:r>
        <w:t xml:space="preserve">D. N. ne demande pas copie des documents. Je ne les transmets pas.</w:t>
      </w:r>
    </w:p>
    <w:p>
      <w:pPr>
        <w:pStyle w:val="FirstParagraph"/>
      </w:pPr>
      <w:r>
        <w:rPr>
          <w:bCs/>
          <w:b/>
        </w:rPr>
        <w:t xml:space="preserve">À faire :</w:t>
      </w:r>
      <w:r>
        <w:t xml:space="preserve"> </w:t>
      </w:r>
      <w:r>
        <w:t xml:space="preserve">aviser Guylaine que l’acheteur veut une déclaration dans l’acte. Elle veut que son avocat en revoie le libellé.</w:t>
      </w:r>
    </w:p>
    <w:p>
      <w:pPr>
        <w:pStyle w:val="BodyText"/>
      </w:pPr>
      <w:r>
        <w:rPr>
          <w:iCs/>
          <w:i/>
        </w:rPr>
        <w:t xml:space="preserve">Note versée au dossier interne. Non transmise à Courtage Nord-Sud.</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