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acte-de-vente-immobilière-commercial"/>
    <w:p>
      <w:pPr>
        <w:pStyle w:val="Heading1"/>
      </w:pPr>
      <w:r>
        <w:t xml:space="preserve">ACTE DE VENTE IMMOBILIÈRE (COMMERCIAL)</w:t>
      </w:r>
    </w:p>
    <w:bookmarkStart w:id="20" w:name="parties"/>
    <w:p>
      <w:pPr>
        <w:pStyle w:val="Heading3"/>
      </w:pPr>
      <w:r>
        <w:t xml:space="preserve">1. Parties</w:t>
      </w:r>
    </w:p>
    <w:p>
      <w:pPr>
        <w:pStyle w:val="FirstParagraph"/>
      </w:pPr>
      <w:r>
        <w:t xml:space="preserve">Le présent acte est conclu entre :</w:t>
      </w:r>
    </w:p>
    <w:p>
      <w:pPr>
        <w:pStyle w:val="BodyText"/>
      </w:pPr>
      <w:r>
        <w:t xml:space="preserve">La société 123 456 Québec inc., personne morale dûment constituée, ayant son siège au Québec, agissant par son représentant autorisé, Guylaine TREMBLAY, directrice générale (ci-après le «</w:t>
      </w:r>
      <w:r>
        <w:t xml:space="preserve"> </w:t>
      </w:r>
      <w:r>
        <w:rPr>
          <w:bCs/>
          <w:b/>
        </w:rPr>
        <w:t xml:space="preserve">Vendeur</w:t>
      </w:r>
      <w:r>
        <w:t xml:space="preserve"> </w:t>
      </w:r>
      <w:r>
        <w:t xml:space="preserve">») ;</w:t>
      </w:r>
    </w:p>
    <w:p>
      <w:pPr>
        <w:pStyle w:val="BodyText"/>
      </w:pPr>
      <w:r>
        <w:t xml:space="preserve">ET</w:t>
      </w:r>
    </w:p>
    <w:p>
      <w:pPr>
        <w:pStyle w:val="BodyText"/>
      </w:pPr>
      <w:r>
        <w:t xml:space="preserve">La société Luxury Furnitures inc., personne morale dûment constituée, ayant son siège au Québec, agissant par son représentant autorisé, Georgio VITTALI, président-directeur (ci-après l’«</w:t>
      </w:r>
      <w:r>
        <w:t xml:space="preserve"> </w:t>
      </w:r>
      <w:r>
        <w:rPr>
          <w:bCs/>
          <w:b/>
        </w:rPr>
        <w:t xml:space="preserve">Acheteur</w:t>
      </w:r>
      <w:r>
        <w:t xml:space="preserve"> </w:t>
      </w:r>
      <w:r>
        <w:t xml:space="preserve">»).</w:t>
      </w:r>
    </w:p>
    <w:bookmarkEnd w:id="20"/>
    <w:bookmarkStart w:id="21" w:name="immeuble-visé"/>
    <w:p>
      <w:pPr>
        <w:pStyle w:val="Heading3"/>
      </w:pPr>
      <w:r>
        <w:t xml:space="preserve">2. Immeuble visé</w:t>
      </w:r>
    </w:p>
    <w:p>
      <w:pPr>
        <w:pStyle w:val="FirstParagraph"/>
      </w:pPr>
      <w:r>
        <w:t xml:space="preserve">L’immeuble situé à Ville Saint-Laurent, province de Québec, au 12 509, boulevard Beauport, sous le numéro de lot SIX MILLIONS QUATRE CENT VINGT-QUATRE MILLE TROIS CENT DIX (6 424 310), Cadastre de Montréal, dont la description légale figure à l’Annexe A (ci-après l’«</w:t>
      </w:r>
      <w:r>
        <w:t xml:space="preserve"> </w:t>
      </w:r>
      <w:r>
        <w:rPr>
          <w:bCs/>
          <w:b/>
        </w:rPr>
        <w:t xml:space="preserve">Immeuble</w:t>
      </w:r>
      <w:r>
        <w:t xml:space="preserve"> </w:t>
      </w:r>
      <w:r>
        <w:t xml:space="preserve">»), incluant, le cas échéant, les dépendances et constructions y attachées.</w:t>
      </w:r>
    </w:p>
    <w:bookmarkEnd w:id="21"/>
    <w:bookmarkStart w:id="22" w:name="vente-et-transfert"/>
    <w:p>
      <w:pPr>
        <w:pStyle w:val="Heading3"/>
      </w:pPr>
      <w:r>
        <w:t xml:space="preserve">3. Vente et transfert</w:t>
      </w:r>
    </w:p>
    <w:p>
      <w:pPr>
        <w:pStyle w:val="FirstParagraph"/>
      </w:pPr>
      <w:r>
        <w:t xml:space="preserve">Le Vendeur vend à l’Acheteur, et l’Acheteur achète du Vendeur, l’Immeuble tel que vu et connu, sous réserve des déclarations, garanties et engagements prévus au présent acte.</w:t>
      </w:r>
    </w:p>
    <w:bookmarkEnd w:id="22"/>
    <w:bookmarkStart w:id="23" w:name="prix-et-modalités"/>
    <w:p>
      <w:pPr>
        <w:pStyle w:val="Heading3"/>
      </w:pPr>
      <w:r>
        <w:t xml:space="preserve">4. Prix et modalités</w:t>
      </w:r>
    </w:p>
    <w:p>
      <w:pPr>
        <w:pStyle w:val="FirstParagraph"/>
      </w:pPr>
      <w:r>
        <w:t xml:space="preserve">4.1</w:t>
      </w:r>
      <w:r>
        <w:t xml:space="preserve"> </w:t>
      </w:r>
      <w:r>
        <w:rPr>
          <w:bCs/>
          <w:b/>
        </w:rPr>
        <w:t xml:space="preserve">Prix</w:t>
      </w:r>
      <w:r>
        <w:t xml:space="preserve">. Le prix de vente est fixé à DEUX MILLIONS HUIT CENT MILLE DOLLARS (</w:t>
      </w:r>
      <w:r>
        <w:rPr>
          <w:bCs/>
          <w:b/>
        </w:rPr>
        <w:t xml:space="preserve">2 800 000 $</w:t>
      </w:r>
      <w:r>
        <w:t xml:space="preserve">) (le «</w:t>
      </w:r>
      <w:r>
        <w:t xml:space="preserve"> </w:t>
      </w:r>
      <w:r>
        <w:rPr>
          <w:bCs/>
          <w:b/>
        </w:rPr>
        <w:t xml:space="preserve">Prix</w:t>
      </w:r>
      <w:r>
        <w:t xml:space="preserve"> </w:t>
      </w:r>
      <w:r>
        <w:t xml:space="preserve">»).</w:t>
      </w:r>
    </w:p>
    <w:p>
      <w:pPr>
        <w:pStyle w:val="BodyText"/>
      </w:pPr>
      <w:r>
        <w:t xml:space="preserve">4.2</w:t>
      </w:r>
      <w:r>
        <w:t xml:space="preserve"> </w:t>
      </w:r>
      <w:r>
        <w:rPr>
          <w:bCs/>
          <w:b/>
        </w:rPr>
        <w:t xml:space="preserve">Taxes</w:t>
      </w:r>
      <w:r>
        <w:t xml:space="preserve">. Les taxes applicables (TPS/TVQ) sont traitées conformément à la loi et selon les modalités convenues [….].</w:t>
      </w:r>
    </w:p>
    <w:p>
      <w:pPr>
        <w:pStyle w:val="BodyText"/>
      </w:pPr>
      <w:r>
        <w:t xml:space="preserve">4.3</w:t>
      </w:r>
      <w:r>
        <w:t xml:space="preserve"> </w:t>
      </w:r>
      <w:r>
        <w:rPr>
          <w:bCs/>
          <w:b/>
        </w:rPr>
        <w:t xml:space="preserve">Paiement</w:t>
      </w:r>
      <w:r>
        <w:t xml:space="preserve">. Le paiement du Prix est effectué COMPTANT à la date de clôture prévue à l’article 5, ce que le Vendeur reconnaît et dont il donne QUITTANCE à l’Acheteur.</w:t>
      </w:r>
    </w:p>
    <w:bookmarkEnd w:id="23"/>
    <w:bookmarkStart w:id="24" w:name="date-de-clôture-et-effet"/>
    <w:p>
      <w:pPr>
        <w:pStyle w:val="Heading3"/>
      </w:pPr>
      <w:r>
        <w:t xml:space="preserve">5. Date de clôture et effet</w:t>
      </w:r>
    </w:p>
    <w:p>
      <w:pPr>
        <w:pStyle w:val="FirstParagraph"/>
      </w:pPr>
      <w:r>
        <w:t xml:space="preserve">5.1</w:t>
      </w:r>
      <w:r>
        <w:t xml:space="preserve"> </w:t>
      </w:r>
      <w:r>
        <w:rPr>
          <w:bCs/>
          <w:b/>
        </w:rPr>
        <w:t xml:space="preserve">Clôture</w:t>
      </w:r>
      <w:r>
        <w:t xml:space="preserve">. Les parties conviennent que la clôture a lieu le neuf octobre deux mille vingt-cinq (9-10-2025) (la «</w:t>
      </w:r>
      <w:r>
        <w:t xml:space="preserve"> </w:t>
      </w:r>
      <w:r>
        <w:rPr>
          <w:bCs/>
          <w:b/>
        </w:rPr>
        <w:t xml:space="preserve">Date de clôture</w:t>
      </w:r>
      <w:r>
        <w:t xml:space="preserve"> </w:t>
      </w:r>
      <w:r>
        <w:t xml:space="preserve">»).</w:t>
      </w:r>
    </w:p>
    <w:p>
      <w:pPr>
        <w:pStyle w:val="BodyText"/>
      </w:pPr>
      <w:r>
        <w:t xml:space="preserve">5.2</w:t>
      </w:r>
      <w:r>
        <w:t xml:space="preserve"> </w:t>
      </w:r>
      <w:r>
        <w:rPr>
          <w:bCs/>
          <w:b/>
        </w:rPr>
        <w:t xml:space="preserve">Effet des déclarations</w:t>
      </w:r>
      <w:r>
        <w:t xml:space="preserve">. Sauf stipulation contraire expresse, les déclarations et engagements prévus au présent acte s’apprécient à compter de la Date de clôture et au plus tard à la Date de clôture.</w:t>
      </w:r>
    </w:p>
    <w:bookmarkEnd w:id="24"/>
    <w:bookmarkStart w:id="25" w:name="immeuble-vacant"/>
    <w:p>
      <w:pPr>
        <w:pStyle w:val="Heading3"/>
      </w:pPr>
      <w:r>
        <w:t xml:space="preserve">6. Immeuble vacant</w:t>
      </w:r>
    </w:p>
    <w:p>
      <w:pPr>
        <w:pStyle w:val="FirstParagraph"/>
      </w:pPr>
      <w:r>
        <w:t xml:space="preserve">6.1 L’Immeuble est vendu vacant à la Date de clôture.</w:t>
      </w:r>
    </w:p>
    <w:p>
      <w:pPr>
        <w:pStyle w:val="BodyText"/>
      </w:pPr>
      <w:r>
        <w:t xml:space="preserve">6.2 Le présent acte ne vise aucune cession de baux ou d’occupations, sous réserve de toute situation déclarée expressément.</w:t>
      </w:r>
    </w:p>
    <w:bookmarkEnd w:id="25"/>
    <w:bookmarkStart w:id="26" w:name="déclaration-du-vendeur"/>
    <w:p>
      <w:pPr>
        <w:pStyle w:val="Heading3"/>
      </w:pPr>
      <w:r>
        <w:t xml:space="preserve">7. Déclaration du Vendeur</w:t>
      </w:r>
    </w:p>
    <w:p>
      <w:pPr>
        <w:pStyle w:val="FirstParagraph"/>
      </w:pPr>
      <w:r>
        <w:t xml:space="preserve">À la Date de clôture et pour l’application du présent acte, le Vendeur déclare ce qui suit :</w:t>
      </w:r>
    </w:p>
    <w:p>
      <w:pPr>
        <w:numPr>
          <w:ilvl w:val="0"/>
          <w:numId w:val="1001"/>
        </w:numPr>
      </w:pPr>
      <w:r>
        <w:t xml:space="preserve">Le Vendeur n’a connaissance d’aucune communication, avis ou mise en demeure formelle équivalent à un avis de non-conformité émanant de la Ville de Montréal, à la Date de clôture ;</w:t>
      </w:r>
    </w:p>
    <w:p>
      <w:pPr>
        <w:numPr>
          <w:ilvl w:val="0"/>
          <w:numId w:val="1001"/>
        </w:numPr>
      </w:pPr>
      <w:r>
        <w:t xml:space="preserve">Les déclarations du Vendeur ne doivent pas être interprétées comme une reconnaissance de toute non-conformité, contravention ou obligation municipale ;</w:t>
      </w:r>
    </w:p>
    <w:p>
      <w:pPr>
        <w:numPr>
          <w:ilvl w:val="0"/>
          <w:numId w:val="1001"/>
        </w:numPr>
      </w:pPr>
      <w:r>
        <w:t xml:space="preserve">L’Immeuble est libre de toute charge hypothécaire ;</w:t>
      </w:r>
    </w:p>
    <w:p>
      <w:pPr>
        <w:numPr>
          <w:ilvl w:val="0"/>
          <w:numId w:val="1001"/>
        </w:numPr>
      </w:pPr>
      <w:r>
        <w:t xml:space="preserve">Les taxes foncières ont été payées par le Vendeur jusqu’à la Date de clôture.</w:t>
      </w:r>
    </w:p>
    <w:bookmarkEnd w:id="26"/>
    <w:bookmarkStart w:id="27" w:name="vérifications-de-lacheteur"/>
    <w:p>
      <w:pPr>
        <w:pStyle w:val="Heading3"/>
      </w:pPr>
      <w:r>
        <w:t xml:space="preserve">8. Vérifications de l’Acheteur</w:t>
      </w:r>
    </w:p>
    <w:p>
      <w:pPr>
        <w:pStyle w:val="FirstParagraph"/>
      </w:pPr>
      <w:r>
        <w:t xml:space="preserve">L’Acheteur reconnaît avoir eu l’occasion d’effectuer les vérifications et analyses qu’il juge nécessaires (incluant, sans s’y limiter, des vérifications municipales, techniques et juridiques) et accepte l’Immeuble sous réserve des déclarations et garanties spécifiquement prévues au présent acte.</w:t>
      </w:r>
    </w:p>
    <w:bookmarkEnd w:id="27"/>
    <w:bookmarkStart w:id="28" w:name="déclaration-de-lacheteur"/>
    <w:p>
      <w:pPr>
        <w:pStyle w:val="Heading3"/>
      </w:pPr>
      <w:r>
        <w:t xml:space="preserve">9. Déclaration de l’Acheteur</w:t>
      </w:r>
    </w:p>
    <w:p>
      <w:pPr>
        <w:pStyle w:val="FirstParagraph"/>
      </w:pPr>
      <w:r>
        <w:t xml:space="preserve">L’Acheteur paiera les honoraires du présent contrat de vente immobilière à Lacombe &amp; Smith Avocats associés.</w:t>
      </w:r>
    </w:p>
    <w:bookmarkEnd w:id="28"/>
    <w:bookmarkStart w:id="29" w:name="remise-des-documents"/>
    <w:p>
      <w:pPr>
        <w:pStyle w:val="Heading3"/>
      </w:pPr>
      <w:r>
        <w:t xml:space="preserve">10. Remise des documents</w:t>
      </w:r>
    </w:p>
    <w:p>
      <w:pPr>
        <w:pStyle w:val="FirstParagraph"/>
      </w:pPr>
      <w:r>
        <w:t xml:space="preserve">À la Date de clôture (ou avant, selon entente), le Vendeur remet à l’Acheteur les documents en sa possession nécessaires pour donner effet à la transaction (titres, documents de propriété, relevés, documents municipaux disponibles, etc.).</w:t>
      </w:r>
    </w:p>
    <w:bookmarkEnd w:id="29"/>
    <w:bookmarkStart w:id="30" w:name="garanties-limitations-et-recours"/>
    <w:p>
      <w:pPr>
        <w:pStyle w:val="Heading3"/>
      </w:pPr>
      <w:r>
        <w:t xml:space="preserve">11. Garanties, limitations et recours</w:t>
      </w:r>
    </w:p>
    <w:p>
      <w:pPr>
        <w:pStyle w:val="FirstParagraph"/>
      </w:pPr>
      <w:r>
        <w:t xml:space="preserve">Le présent acte est régi par les garanties, limitations et recours expressément prévus aux présentes.</w:t>
      </w:r>
    </w:p>
    <w:bookmarkEnd w:id="30"/>
    <w:bookmarkStart w:id="31" w:name="dispositions-générales"/>
    <w:p>
      <w:pPr>
        <w:pStyle w:val="Heading3"/>
      </w:pPr>
      <w:r>
        <w:t xml:space="preserve">12. Dispositions générales</w:t>
      </w:r>
    </w:p>
    <w:p>
      <w:pPr>
        <w:pStyle w:val="FirstParagraph"/>
      </w:pPr>
      <w:r>
        <w:t xml:space="preserve">12.1 Droit applicable : Québec.</w:t>
      </w:r>
    </w:p>
    <w:p>
      <w:pPr>
        <w:pStyle w:val="BodyText"/>
      </w:pPr>
      <w:r>
        <w:t xml:space="preserve">12.2 Intégralité : le présent acte constitue l’entente intégrale entre les parties relativement à l’objet.</w:t>
      </w:r>
    </w:p>
    <w:p>
      <w:pPr>
        <w:pStyle w:val="BodyText"/>
      </w:pPr>
      <w:r>
        <w:t xml:space="preserve">12.3 Modifications : toute modification doit être faite par écrit.</w:t>
      </w:r>
    </w:p>
    <w:p>
      <w:pPr>
        <w:pStyle w:val="BodyText"/>
      </w:pPr>
      <w:r>
        <w:t xml:space="preserve">12.4 Signatures : signataires autorisés.</w:t>
      </w:r>
    </w:p>
    <w:p>
      <w:r>
        <w:pict>
          <v:rect style="width:0;height:1.5pt" o:hralign="center" o:hrstd="t" o:hr="t"/>
        </w:pict>
      </w:r>
    </w:p>
    <w:p>
      <w:pPr>
        <w:pStyle w:val="FirstParagraph"/>
      </w:pPr>
      <w:r>
        <w:t xml:space="preserve">Signé à Ville Saint-Laurent, province de Québec, ce 9 octobre 2025, en deux originaux.</w:t>
      </w:r>
    </w:p>
    <w:p>
      <w:pPr>
        <w:pStyle w:val="BodyText"/>
      </w:pPr>
      <w:r>
        <w:rPr>
          <w:bCs/>
          <w:b/>
        </w:rPr>
        <w:t xml:space="preserve">Pour le Vendeur :</w:t>
      </w:r>
      <w:r>
        <w:br/>
      </w:r>
      <w:r>
        <w:t xml:space="preserve">123 456 Québec inc.</w:t>
      </w:r>
      <w:r>
        <w:br/>
      </w:r>
      <w:r>
        <w:t xml:space="preserve">(s)</w:t>
      </w:r>
      <w:r>
        <w:t xml:space="preserve"> </w:t>
      </w:r>
      <w:r>
        <w:rPr>
          <w:iCs/>
          <w:i/>
        </w:rPr>
        <w:t xml:space="preserve">G. Tremblay</w:t>
      </w:r>
      <w:r>
        <w:br/>
      </w:r>
      <w:r>
        <w:t xml:space="preserve">Nom : Guylaine TREMBLAY</w:t>
      </w:r>
      <w:r>
        <w:br/>
      </w:r>
      <w:r>
        <w:t xml:space="preserve">Titre : Directrice générale</w:t>
      </w:r>
    </w:p>
    <w:p>
      <w:pPr>
        <w:pStyle w:val="BodyText"/>
      </w:pPr>
      <w:r>
        <w:rPr>
          <w:bCs/>
          <w:b/>
        </w:rPr>
        <w:t xml:space="preserve">Pour l’Acheteur :</w:t>
      </w:r>
      <w:r>
        <w:br/>
      </w:r>
      <w:r>
        <w:t xml:space="preserve">Luxury Furnitures inc.</w:t>
      </w:r>
      <w:r>
        <w:br/>
      </w:r>
      <w:r>
        <w:t xml:space="preserve">(s)</w:t>
      </w:r>
      <w:r>
        <w:t xml:space="preserve"> </w:t>
      </w:r>
      <w:r>
        <w:rPr>
          <w:iCs/>
          <w:i/>
        </w:rPr>
        <w:t xml:space="preserve">G. Vittali</w:t>
      </w:r>
      <w:r>
        <w:br/>
      </w:r>
      <w:r>
        <w:t xml:space="preserve">Nom : Georgio VITTALI</w:t>
      </w:r>
      <w:r>
        <w:br/>
      </w:r>
      <w:r>
        <w:t xml:space="preserve">Titre : Président-directeur</w:t>
      </w:r>
    </w:p>
    <w:p>
      <w:r>
        <w:pict>
          <v:rect style="width:0;height:1.5pt" o:hralign="center" o:hrstd="t" o:hr="t"/>
        </w:pict>
      </w:r>
    </w:p>
    <w:p>
      <w:pPr>
        <w:pStyle w:val="FirstParagraph"/>
      </w:pPr>
      <w:r>
        <w:rPr>
          <w:iCs/>
          <w:i/>
        </w:rPr>
        <w:t xml:space="preserve">Document fictif — Hackathon CAIJ. Personnes, entreprises et faits inventés.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2026-10-13T12:57:58Z</dcterms:created>
  <dcterms:modified xsi:type="dcterms:W3CDTF">2026-10-13T12:57:58Z</dcterms:modified>
</cp:coreProperties>
</file>

<file path=docProps/custom.xml><?xml version="1.0" encoding="utf-8"?>
<Properties xmlns="http://schemas.openxmlformats.org/officeDocument/2006/custom-properties" xmlns:vt="http://schemas.openxmlformats.org/officeDocument/2006/docPropsVTypes"/>
</file>