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éclaration-sous-serment"/>
    <w:p>
      <w:pPr>
        <w:pStyle w:val="Heading1"/>
      </w:pPr>
      <w:r>
        <w:t xml:space="preserve">DÉCLARATION SOUS SERMENT</w:t>
      </w:r>
    </w:p>
    <w:p>
      <w:pPr>
        <w:pStyle w:val="FirstParagraph"/>
      </w:pPr>
      <w:r>
        <w:t xml:space="preserve">Je, soussigné,</w:t>
      </w:r>
      <w:r>
        <w:t xml:space="preserve"> </w:t>
      </w:r>
      <w:r>
        <w:rPr>
          <w:bCs/>
          <w:b/>
        </w:rPr>
        <w:t xml:space="preserve">Samir Haddad</w:t>
      </w:r>
      <w:r>
        <w:t xml:space="preserve">, restaurateur, exerçant ma profession au 12 509, boulevard Beauport, à Montréal, déclare solennellement ce qui suit :</w:t>
      </w:r>
    </w:p>
    <w:p>
      <w:pPr>
        <w:numPr>
          <w:ilvl w:val="0"/>
          <w:numId w:val="1001"/>
        </w:numPr>
      </w:pPr>
      <w:r>
        <w:t xml:space="preserve">Je suis propriétaire du restaurant Le Comptoir, situé au rez-de-chaussée de l’immeuble du 12 509, boulevard Beauport.</w:t>
      </w:r>
    </w:p>
    <w:p>
      <w:pPr>
        <w:numPr>
          <w:ilvl w:val="0"/>
          <w:numId w:val="1001"/>
        </w:numPr>
      </w:pPr>
      <w:r>
        <w:t xml:space="preserve">J’ai été locataire de 123 456 Québec inc. dans cet immeuble de mai 2019 au 31 juillet 2025. Mme Guylaine Tremblay a refusé de renouveler mon bail, en me disant que l’immeuble devait être vendu vacant.</w:t>
      </w:r>
    </w:p>
    <w:p>
      <w:pPr>
        <w:numPr>
          <w:ilvl w:val="0"/>
          <w:numId w:val="1001"/>
        </w:numPr>
      </w:pPr>
      <w:r>
        <w:t xml:space="preserve">J’étais sur place tout au long de l’été 2023, quand le quai de livraison et le monte-charge ont été construits. Je n’ai jamais vu de permis affiché sur le chantier.</w:t>
      </w:r>
    </w:p>
    <w:p>
      <w:pPr>
        <w:numPr>
          <w:ilvl w:val="0"/>
          <w:numId w:val="1001"/>
        </w:numPr>
      </w:pPr>
      <w:r>
        <w:t xml:space="preserve">En novembre 2023, un inspecteur de la Ville est venu à l’arrière de l’immeuble. Il a pris des photos du quai et m’a demandé qui était le propriétaire. Je lui ai donné le nom de Mme Tremblay.</w:t>
      </w:r>
    </w:p>
    <w:p>
      <w:pPr>
        <w:numPr>
          <w:ilvl w:val="0"/>
          <w:numId w:val="1001"/>
        </w:numPr>
      </w:pPr>
      <w:r>
        <w:t xml:space="preserve">Au printemps 2024, je ne me rappelle plus la date exacte, le même inspecteur est revenu. Il est resté une vingtaine de minutes avec Mme Tremblay dans le stationnement arrière.</w:t>
      </w:r>
    </w:p>
    <w:p>
      <w:pPr>
        <w:numPr>
          <w:ilvl w:val="0"/>
          <w:numId w:val="1001"/>
        </w:numPr>
      </w:pPr>
      <w:r>
        <w:t xml:space="preserve">Après le départ de l’inspecteur, Mme Tremblay est entrée au restaurant. Elle était contrariée. Elle m’a dit, à peu près dans ces mots : « La Ville nous court après pour le quai. On n’a jamais demandé de permis. Ça va coûter une fortune à régler. De toute façon, on vend. »</w:t>
      </w:r>
    </w:p>
    <w:p>
      <w:pPr>
        <w:numPr>
          <w:ilvl w:val="0"/>
          <w:numId w:val="1001"/>
        </w:numPr>
      </w:pPr>
      <w:r>
        <w:t xml:space="preserve">Le 1er décembre 2025, j’ai signé un nouveau bail avec Luxury Furnitures inc. et j’ai rouvert mon restaurant en janvier 2026.</w:t>
      </w:r>
    </w:p>
    <w:p>
      <w:pPr>
        <w:numPr>
          <w:ilvl w:val="0"/>
          <w:numId w:val="1001"/>
        </w:numPr>
      </w:pPr>
      <w:r>
        <w:t xml:space="preserve">Je n’ai pas parlé des visites de la Ville à M. Vittali avant de signer mon bail. Je croyais que le dossier avait été réglé avant la vente.</w:t>
      </w:r>
    </w:p>
    <w:p>
      <w:pPr>
        <w:numPr>
          <w:ilvl w:val="0"/>
          <w:numId w:val="1001"/>
        </w:numPr>
      </w:pPr>
      <w:r>
        <w:t xml:space="preserve">Le 20 mars 2026, M. Vittali m’a montré l’avis qu’il venait de recevoir de la Ville. C’est là que je lui ai raconté ce qui précède.</w:t>
      </w:r>
    </w:p>
    <w:p>
      <w:pPr>
        <w:numPr>
          <w:ilvl w:val="0"/>
          <w:numId w:val="1001"/>
        </w:numPr>
      </w:pPr>
      <w:r>
        <w:t xml:space="preserve">Je précise que j’ai un litige avec 123 456 Québec inc. devant la Cour du Québec. Je lui réclame 42 000 $ pour mon dépôt de garantie et pour des améliorations locatives. Ce dossier n’est pas réglé.</w:t>
      </w:r>
    </w:p>
    <w:p>
      <w:pPr>
        <w:numPr>
          <w:ilvl w:val="0"/>
          <w:numId w:val="1001"/>
        </w:numPr>
      </w:pPr>
      <w:r>
        <w:t xml:space="preserve">Mon bail actuel avec Luxury Furnitures inc. prévoit trois mois de loyer gratuit.</w:t>
      </w:r>
    </w:p>
    <w:p>
      <w:pPr>
        <w:numPr>
          <w:ilvl w:val="0"/>
          <w:numId w:val="1001"/>
        </w:numPr>
      </w:pPr>
      <w:r>
        <w:t xml:space="preserve">Tous les faits allégués dans la présente déclaration sont vrais.</w:t>
      </w:r>
    </w:p>
    <w:p>
      <w:pPr>
        <w:pStyle w:val="FirstParagraph"/>
      </w:pPr>
      <w:r>
        <w:t xml:space="preserve">Et j’ai signé, à Montréal, le 9 avril 2026.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Samir Haddad</w:t>
      </w:r>
    </w:p>
    <w:p>
      <w:pPr>
        <w:pStyle w:val="FirstParagraph"/>
      </w:pPr>
      <w:r>
        <w:t xml:space="preserve">Déclaré solennellement devant moi, à Montréal, le 9 avril 2026.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Julie Fortin</w:t>
      </w:r>
      <w:r>
        <w:t xml:space="preserve">, commissaire à l’assermentation pour le Québec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Personnes, entreprises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9">
    <w:nsid w:val="A997319"/>
    <w:multiLevelType w:val="multilevel"/>
    <w:lvl w:ilvl="0">
      <w:start w:val="19"/>
      <w:numFmt w:val="lowerLetter"/>
      <w:lvlText w:val="(%1)"/>
      <w:lvlJc w:val="left"/>
      <w:pPr>
        <w:ind w:left="720" w:hanging="480"/>
      </w:pPr>
    </w:lvl>
    <w:lvl w:ilvl="1">
      <w:start w:val="19"/>
      <w:numFmt w:val="lowerLetter"/>
      <w:lvlText w:val="(%2)"/>
      <w:lvlJc w:val="left"/>
      <w:pPr>
        <w:ind w:left="1440" w:hanging="480"/>
      </w:pPr>
    </w:lvl>
    <w:lvl w:ilvl="2">
      <w:start w:val="19"/>
      <w:numFmt w:val="lowerLetter"/>
      <w:lvlText w:val="(%3)"/>
      <w:lvlJc w:val="left"/>
      <w:pPr>
        <w:ind w:left="2160" w:hanging="480"/>
      </w:pPr>
    </w:lvl>
    <w:lvl w:ilvl="3">
      <w:start w:val="19"/>
      <w:numFmt w:val="lowerLetter"/>
      <w:lvlText w:val="(%4)"/>
      <w:lvlJc w:val="left"/>
      <w:pPr>
        <w:ind w:left="2880" w:hanging="480"/>
      </w:pPr>
    </w:lvl>
    <w:lvl w:ilvl="4">
      <w:start w:val="19"/>
      <w:numFmt w:val="lowerLetter"/>
      <w:lvlText w:val="(%5)"/>
      <w:lvlJc w:val="left"/>
      <w:pPr>
        <w:ind w:left="3600" w:hanging="480"/>
      </w:pPr>
    </w:lvl>
    <w:lvl w:ilvl="5">
      <w:start w:val="19"/>
      <w:numFmt w:val="lowerLetter"/>
      <w:lvlText w:val="(%6)"/>
      <w:lvlJc w:val="left"/>
      <w:pPr>
        <w:ind w:left="4320" w:hanging="480"/>
      </w:pPr>
    </w:lvl>
    <w:lvl w:ilvl="6">
      <w:start w:val="19"/>
      <w:numFmt w:val="lowerLetter"/>
      <w:lvlText w:val="(%7)"/>
      <w:lvlJc w:val="left"/>
      <w:pPr>
        <w:ind w:left="5040" w:hanging="480"/>
      </w:pPr>
    </w:lvl>
    <w:lvl w:ilvl="7">
      <w:start w:val="19"/>
      <w:numFmt w:val="lowerLetter"/>
      <w:lvlText w:val="(%8)"/>
      <w:lvlJc w:val="left"/>
      <w:pPr>
        <w:ind w:left="5760" w:hanging="480"/>
      </w:pPr>
    </w:lvl>
    <w:lvl w:ilvl="8">
      <w:start w:val="19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3">
    <w:abstractNumId w:val="997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2026-10-13T12:57:58Z</dcterms:created>
  <dcterms:modified xsi:type="dcterms:W3CDTF">2026-10-13T12:57:58Z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