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ise-en-demeure"/>
    <w:p>
      <w:pPr>
        <w:pStyle w:val="Heading1"/>
      </w:pPr>
      <w:r>
        <w:t xml:space="preserve">MISE EN DEMEURE</w:t>
      </w:r>
    </w:p>
    <w:p>
      <w:pPr>
        <w:pStyle w:val="FirstParagraph"/>
      </w:pPr>
      <w:r>
        <w:rPr>
          <w:bCs/>
          <w:b/>
        </w:rPr>
        <w:t xml:space="preserve">SOUS TOUTES RÉSERVES</w:t>
      </w:r>
    </w:p>
    <w:p>
      <w:pPr>
        <w:pStyle w:val="BodyText"/>
      </w:pPr>
      <w:r>
        <w:rPr>
          <w:bCs/>
          <w:b/>
        </w:rPr>
        <w:t xml:space="preserve">De :</w:t>
      </w:r>
      <w:r>
        <w:t xml:space="preserve"> </w:t>
      </w:r>
      <w:r>
        <w:t xml:space="preserve">Me Camille Arsenault, Arsenault Roy avocats, pour Luxury Furnitures inc.</w:t>
      </w:r>
      <w:r>
        <w:br/>
      </w:r>
      <w:r>
        <w:rPr>
          <w:bCs/>
          <w:b/>
        </w:rPr>
        <w:t xml:space="preserve">À :</w:t>
      </w:r>
      <w:r>
        <w:t xml:space="preserve"> </w:t>
      </w:r>
      <w:r>
        <w:t xml:space="preserve">123 456 Québec inc., à l’attention de Mme Guylaine Tremblay, directrice générale</w:t>
      </w:r>
      <w:r>
        <w:br/>
      </w:r>
      <w:r>
        <w:rPr>
          <w:bCs/>
          <w:b/>
        </w:rPr>
        <w:t xml:space="preserve">Date :</w:t>
      </w:r>
      <w:r>
        <w:t xml:space="preserve"> </w:t>
      </w:r>
      <w:r>
        <w:t xml:space="preserve">2 avril 2026</w:t>
      </w:r>
      <w:r>
        <w:br/>
      </w:r>
      <w:r>
        <w:rPr>
          <w:bCs/>
          <w:b/>
        </w:rPr>
        <w:t xml:space="preserve">Mode d’envoi :</w:t>
      </w:r>
      <w:r>
        <w:t xml:space="preserve"> </w:t>
      </w:r>
      <w:r>
        <w:t xml:space="preserve">Huissier</w:t>
      </w:r>
    </w:p>
    <w:p>
      <w:pPr>
        <w:pStyle w:val="BodyText"/>
      </w:pPr>
      <w:r>
        <w:t xml:space="preserve">Madame,</w:t>
      </w:r>
    </w:p>
    <w:p>
      <w:pPr>
        <w:pStyle w:val="BodyText"/>
      </w:pPr>
      <w:r>
        <w:t xml:space="preserve">Nous représentons Luxury Furnitures inc., qui a acquis de votre société, le 9 octobre 2025, l’immeuble situé au 12 509, boulevard Beauport, à Montréal, au prix de 2 800 000 $.</w:t>
      </w:r>
    </w:p>
    <w:p>
      <w:pPr>
        <w:pStyle w:val="BodyText"/>
      </w:pPr>
      <w:r>
        <w:t xml:space="preserve">Le 16 mars 2026, notre cliente a reçu de la Ville de Montréal un avis de non-conformité visant le quai de livraison et le monte-charge de l’immeuble, construits par votre société en 2023 sans les permis requis. La Ville exige l’arrêt du monte-charge au plus tard le 1er mai 2026 et la régularisation complète des travaux. Le quai empiète dans la marge arrière et pourrait devoir être démoli en partie.</w:t>
      </w:r>
    </w:p>
    <w:p>
      <w:pPr>
        <w:pStyle w:val="BodyText"/>
      </w:pPr>
      <w:r>
        <w:t xml:space="preserve">Notre cliente a depuis appris que la Ville vous avait écrit à ce sujet le 6 février 2024 et le 18 juin 2024, et que vous lui aviez répondu le 2 juillet 2024. Vous connaissiez donc la situation depuis plus d’un an et demi au moment de la vente.</w:t>
      </w:r>
    </w:p>
    <w:p>
      <w:pPr>
        <w:pStyle w:val="BodyText"/>
      </w:pPr>
      <w:r>
        <w:t xml:space="preserve">Vous n’en avez jamais informé notre cliente. Au contraire, alors que son courtier vous interrogeait précisément sur ces travaux en septembre 2025, vous avez laissé entendre que vous ne déteniez rien de formel, puis vous avez déclaré à l’acte de vente n’avoir connaissance d’aucune communication de la Ville équivalant à un avis de non-conformité.</w:t>
      </w:r>
    </w:p>
    <w:p>
      <w:pPr>
        <w:pStyle w:val="BodyText"/>
      </w:pPr>
      <w:r>
        <w:t xml:space="preserve">Le quai et le monte-charge sont la raison même de l’achat. Notre cliente n’aurait pas acheté l’immeuble, ou ne l’aurait pas payé ce prix, si elle avait connu la situation.</w:t>
      </w:r>
    </w:p>
    <w:p>
      <w:pPr>
        <w:pStyle w:val="BodyText"/>
      </w:pPr>
      <w:r>
        <w:t xml:space="preserve">Par la présente, nous vous</w:t>
      </w:r>
      <w:r>
        <w:t xml:space="preserve"> </w:t>
      </w:r>
      <w:r>
        <w:rPr>
          <w:bCs/>
          <w:b/>
        </w:rPr>
        <w:t xml:space="preserve">dénonçons</w:t>
      </w:r>
      <w:r>
        <w:t xml:space="preserve"> </w:t>
      </w:r>
      <w:r>
        <w:t xml:space="preserve">formellement cette situation et vous mettons en demeure, dans les</w:t>
      </w:r>
      <w:r>
        <w:t xml:space="preserve"> </w:t>
      </w:r>
      <w:r>
        <w:rPr>
          <w:bCs/>
          <w:b/>
        </w:rPr>
        <w:t xml:space="preserve">dix (10) jours</w:t>
      </w:r>
      <w:r>
        <w:t xml:space="preserve"> </w:t>
      </w:r>
      <w:r>
        <w:t xml:space="preserve">de la réception de la présente :</w:t>
      </w:r>
    </w:p>
    <w:p>
      <w:pPr>
        <w:numPr>
          <w:ilvl w:val="0"/>
          <w:numId w:val="1001"/>
        </w:numPr>
        <w:pStyle w:val="Compact"/>
      </w:pPr>
      <w:r>
        <w:t xml:space="preserve">de confirmer par écrit que votre société prendra à sa charge tous les coûts de mise en conformité de l’immeuble ;</w:t>
      </w:r>
    </w:p>
    <w:p>
      <w:pPr>
        <w:numPr>
          <w:ilvl w:val="0"/>
          <w:numId w:val="1001"/>
        </w:numPr>
        <w:pStyle w:val="Compact"/>
      </w:pPr>
      <w:r>
        <w:t xml:space="preserve">d’indemniser notre cliente pour les pertes d’exploitation qu’elle subira pendant l’arrêt du monte-charge.</w:t>
      </w:r>
    </w:p>
    <w:p>
      <w:pPr>
        <w:pStyle w:val="FirstParagraph"/>
      </w:pPr>
      <w:r>
        <w:t xml:space="preserve">Vous pouvez faire examiner les lieux dans le même délai, sur rendez-vous.</w:t>
      </w:r>
    </w:p>
    <w:p>
      <w:pPr>
        <w:pStyle w:val="BodyText"/>
      </w:pPr>
      <w:r>
        <w:t xml:space="preserve">À défaut, notre cliente exercera ses recours sans autre avis ni délai. Elle se réserve le droit de demander l’annulation de la vente ou la réduction du prix, ainsi que des dommages-intérêts.</w:t>
      </w:r>
    </w:p>
    <w:p>
      <w:pPr>
        <w:pStyle w:val="BodyText"/>
      </w:pPr>
      <w:r>
        <w:t xml:space="preserve">Veuillez agir en conséquence.</w:t>
      </w:r>
    </w:p>
    <w:p>
      <w:pPr>
        <w:pStyle w:val="BodyText"/>
      </w:pPr>
      <w:r>
        <w:rPr>
          <w:bCs/>
          <w:b/>
        </w:rPr>
        <w:t xml:space="preserve">Me Camille Arsenault</w:t>
      </w:r>
      <w:r>
        <w:br/>
      </w:r>
      <w:r>
        <w:t xml:space="preserve">Arsenault Roy avocats</w:t>
      </w:r>
    </w:p>
    <w:p>
      <w:r>
        <w:pict>
          <v:rect style="width:0;height:1.5pt" o:hralign="center" o:hrstd="t" o:hr="t"/>
        </w:pict>
      </w:r>
    </w:p>
    <w:p>
      <w:pPr>
        <w:pStyle w:val="FirstParagraph"/>
      </w:pPr>
      <w:r>
        <w:rPr>
          <w:iCs/>
          <w:i/>
        </w:rPr>
        <w:t xml:space="preserve">Document fictif — Hackathon CAIJ. Personnes, entreprises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