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notes-dentrevue"/>
    <w:p>
      <w:pPr>
        <w:pStyle w:val="Heading1"/>
      </w:pPr>
      <w:r>
        <w:t xml:space="preserve">Notes d’entrevue</w:t>
      </w:r>
    </w:p>
    <w:p>
      <w:pPr>
        <w:pStyle w:val="FirstParagraph"/>
      </w:pPr>
      <w:r>
        <w:rPr>
          <w:bCs/>
          <w:b/>
        </w:rPr>
        <w:t xml:space="preserve">Étude de Me Laurent Désilets, notaire</w:t>
      </w:r>
      <w:r>
        <w:br/>
      </w:r>
      <w:r>
        <w:rPr>
          <w:bCs/>
          <w:b/>
        </w:rPr>
        <w:t xml:space="preserve">Dossier :</w:t>
      </w:r>
      <w:r>
        <w:t xml:space="preserve"> </w:t>
      </w:r>
      <w:r>
        <w:t xml:space="preserve">2026-0951 — Triplex de la rue Chabot — Convention d’indivision</w:t>
      </w:r>
      <w:r>
        <w:br/>
      </w:r>
      <w:r>
        <w:rPr>
          <w:bCs/>
          <w:b/>
        </w:rPr>
        <w:t xml:space="preserve">Rencontre du :</w:t>
      </w:r>
      <w:r>
        <w:t xml:space="preserve"> </w:t>
      </w:r>
      <w:r>
        <w:t xml:space="preserve">13 octobre 2026, 18 h à 19 h 15, à l’étude</w:t>
      </w:r>
      <w:r>
        <w:br/>
      </w:r>
      <w:r>
        <w:rPr>
          <w:bCs/>
          <w:b/>
        </w:rPr>
        <w:t xml:space="preserve">Présents :</w:t>
      </w:r>
      <w:r>
        <w:t xml:space="preserve"> </w:t>
      </w:r>
      <w:r>
        <w:t xml:space="preserve">Camille Bouchard, Jérémie Lavoie, Maude Nguyen, Antoine Rivard</w:t>
      </w:r>
    </w:p>
    <w:p>
      <w:pPr>
        <w:pStyle w:val="BodyText"/>
      </w:pPr>
      <w:r>
        <w:rPr>
          <w:iCs/>
          <w:i/>
        </w:rPr>
        <w:t xml:space="preserve">Notes prises pendant la rencontre, à mettre au propre.</w:t>
      </w:r>
    </w:p>
    <w:bookmarkStart w:id="20" w:name="contexte"/>
    <w:p>
      <w:pPr>
        <w:pStyle w:val="Heading2"/>
      </w:pPr>
      <w:r>
        <w:t xml:space="preserve">Contexte</w:t>
      </w:r>
    </w:p>
    <w:p>
      <w:pPr>
        <w:numPr>
          <w:ilvl w:val="0"/>
          <w:numId w:val="1001"/>
        </w:numPr>
        <w:pStyle w:val="Compact"/>
      </w:pPr>
      <w:r>
        <w:t xml:space="preserve">Achat du triplex des 6410, 6412 et 6414, rue Chabot, à Montréal, le 28 août 2026, devant une autre notaire. Prix : 1 200 000 $.</w:t>
      </w:r>
    </w:p>
    <w:p>
      <w:pPr>
        <w:numPr>
          <w:ilvl w:val="0"/>
          <w:numId w:val="1001"/>
        </w:numPr>
        <w:pStyle w:val="Compact"/>
      </w:pPr>
      <w:r>
        <w:t xml:space="preserve">Un seul prêt hypothécaire de 900 000 $. La banque a exigé qu’une convention d’indivision soit signée et publiée dans les 90 jours de l’achat. Elle veut y intervenir.</w:t>
      </w:r>
    </w:p>
    <w:p>
      <w:pPr>
        <w:numPr>
          <w:ilvl w:val="0"/>
          <w:numId w:val="1001"/>
        </w:numPr>
        <w:pStyle w:val="Compact"/>
      </w:pPr>
      <w:r>
        <w:t xml:space="preserve">Chacun occupe son logement depuis le 1er septembre.</w:t>
      </w:r>
    </w:p>
    <w:p>
      <w:pPr>
        <w:numPr>
          <w:ilvl w:val="0"/>
          <w:numId w:val="1001"/>
        </w:numPr>
        <w:pStyle w:val="Compact"/>
      </w:pPr>
      <w:r>
        <w:t xml:space="preserve">Ce sont des amis de longue date. « On s’entend sur tout. » Ils veulent quelque chose de simple.</w:t>
      </w:r>
    </w:p>
    <w:bookmarkEnd w:id="20"/>
    <w:bookmarkStart w:id="21" w:name="les-indivisaires"/>
    <w:p>
      <w:pPr>
        <w:pStyle w:val="Heading2"/>
      </w:pPr>
      <w:r>
        <w:t xml:space="preserve">Les indivisaires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Camille Bouchard</w:t>
      </w:r>
      <w:r>
        <w:t xml:space="preserve">, 37 ans, designer graphique, célibataire. Rez-de-chaussée (6410), avec la cour arrière. Elle a deux chiens.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Jérémie Lavoie</w:t>
      </w:r>
      <w:r>
        <w:t xml:space="preserve">, 41 ans, directeur de projets, et</w:t>
      </w:r>
      <w:r>
        <w:t xml:space="preserve"> </w:t>
      </w:r>
      <w:r>
        <w:rPr>
          <w:bCs/>
          <w:b/>
        </w:rPr>
        <w:t xml:space="preserve">Maude Nguyen</w:t>
      </w:r>
      <w:r>
        <w:t xml:space="preserve">, 39 ans, psychologue. Conjoints de fait, un enfant de 4 ans. Deuxième étage (6412). Ils parlent toujours de « notre part ».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Antoine Rivard</w:t>
      </w:r>
      <w:r>
        <w:t xml:space="preserve">, 34 ans, photographe pigiste, célibataire. Troisième étage (6414). Il voyage trois ou quatre mois par année pour son travail.</w:t>
      </w:r>
    </w:p>
    <w:bookmarkEnd w:id="21"/>
    <w:bookmarkStart w:id="22" w:name="les-parts"/>
    <w:p>
      <w:pPr>
        <w:pStyle w:val="Heading2"/>
      </w:pPr>
      <w:r>
        <w:t xml:space="preserve">Les parts</w:t>
      </w:r>
    </w:p>
    <w:p>
      <w:pPr>
        <w:numPr>
          <w:ilvl w:val="0"/>
          <w:numId w:val="1003"/>
        </w:numPr>
        <w:pStyle w:val="Compact"/>
      </w:pPr>
      <w:r>
        <w:t xml:space="preserve">Ils ne veulent pas de parts égales : les logements n’ont pas la même valeur et les mises de fonds sont différentes. Ils m’enverront leur tableau.</w:t>
      </w:r>
    </w:p>
    <w:p>
      <w:pPr>
        <w:numPr>
          <w:ilvl w:val="0"/>
          <w:numId w:val="1003"/>
        </w:numPr>
        <w:pStyle w:val="Compact"/>
      </w:pPr>
      <w:r>
        <w:t xml:space="preserve">Je leur demande ce que dit l’acte d’achat. Personne ne s’en souvient.</w:t>
      </w:r>
    </w:p>
    <w:bookmarkEnd w:id="22"/>
    <w:bookmarkStart w:id="23" w:name="durée"/>
    <w:p>
      <w:pPr>
        <w:pStyle w:val="Heading2"/>
      </w:pPr>
      <w:r>
        <w:t xml:space="preserve">Durée</w:t>
      </w:r>
    </w:p>
    <w:p>
      <w:pPr>
        <w:numPr>
          <w:ilvl w:val="0"/>
          <w:numId w:val="1004"/>
        </w:numPr>
        <w:pStyle w:val="Compact"/>
      </w:pPr>
      <w:r>
        <w:t xml:space="preserve">« Pour toujours. » Jérémie : « Ou 50 ans, si ça prend un chiffre. »</w:t>
      </w:r>
    </w:p>
    <w:bookmarkEnd w:id="23"/>
    <w:bookmarkStart w:id="24" w:name="usage-des-logements"/>
    <w:p>
      <w:pPr>
        <w:pStyle w:val="Heading2"/>
      </w:pPr>
      <w:r>
        <w:t xml:space="preserve">Usage des logements</w:t>
      </w:r>
    </w:p>
    <w:p>
      <w:pPr>
        <w:numPr>
          <w:ilvl w:val="0"/>
          <w:numId w:val="1005"/>
        </w:numPr>
        <w:pStyle w:val="Compact"/>
      </w:pPr>
      <w:r>
        <w:t xml:space="preserve">Chacun a l’usage exclusif de son logement.</w:t>
      </w:r>
    </w:p>
    <w:p>
      <w:pPr>
        <w:numPr>
          <w:ilvl w:val="0"/>
          <w:numId w:val="1005"/>
        </w:numPr>
        <w:pStyle w:val="Compact"/>
      </w:pPr>
      <w:r>
        <w:t xml:space="preserve">Cour arrière : à Camille seule. Elle l’entretient.</w:t>
      </w:r>
    </w:p>
    <w:p>
      <w:pPr>
        <w:numPr>
          <w:ilvl w:val="0"/>
          <w:numId w:val="1005"/>
        </w:numPr>
        <w:pStyle w:val="Compact"/>
      </w:pPr>
      <w:r>
        <w:t xml:space="preserve">Stationnement : deux places dans la ruelle. Une pour Camille, une pour Jérémie et Maude. Antoine n’a pas d’auto « pour le moment ».</w:t>
      </w:r>
    </w:p>
    <w:p>
      <w:pPr>
        <w:numPr>
          <w:ilvl w:val="0"/>
          <w:numId w:val="1005"/>
        </w:numPr>
        <w:pStyle w:val="Compact"/>
      </w:pPr>
      <w:r>
        <w:t xml:space="preserve">Toit : Antoine aimerait y aménager une terrasse à ses frais. Les autres n’ont pas dit non.</w:t>
      </w:r>
    </w:p>
    <w:p>
      <w:pPr>
        <w:numPr>
          <w:ilvl w:val="0"/>
          <w:numId w:val="1005"/>
        </w:numPr>
        <w:pStyle w:val="Compact"/>
      </w:pPr>
      <w:r>
        <w:t xml:space="preserve">Sous-sol : rangement commun.</w:t>
      </w:r>
    </w:p>
    <w:bookmarkEnd w:id="24"/>
    <w:bookmarkStart w:id="25" w:name="règles-de-vie"/>
    <w:p>
      <w:pPr>
        <w:pStyle w:val="Heading2"/>
      </w:pPr>
      <w:r>
        <w:t xml:space="preserve">Règles de vie</w:t>
      </w:r>
    </w:p>
    <w:p>
      <w:pPr>
        <w:numPr>
          <w:ilvl w:val="0"/>
          <w:numId w:val="1006"/>
        </w:numPr>
        <w:pStyle w:val="Compact"/>
      </w:pPr>
      <w:r>
        <w:t xml:space="preserve">Je leur lis les restrictions du modèle. Ils rient. « Mettez ce qu’il y a d’habitude, on n’aura pas de problème. »</w:t>
      </w:r>
    </w:p>
    <w:p>
      <w:pPr>
        <w:numPr>
          <w:ilvl w:val="0"/>
          <w:numId w:val="1006"/>
        </w:numPr>
        <w:pStyle w:val="Compact"/>
      </w:pPr>
      <w:r>
        <w:t xml:space="preserve">Animaux : pas discuté.</w:t>
      </w:r>
    </w:p>
    <w:p>
      <w:pPr>
        <w:numPr>
          <w:ilvl w:val="0"/>
          <w:numId w:val="1006"/>
        </w:numPr>
        <w:pStyle w:val="Compact"/>
      </w:pPr>
      <w:r>
        <w:t xml:space="preserve">Location : pas discuté.</w:t>
      </w:r>
    </w:p>
    <w:bookmarkEnd w:id="25"/>
    <w:bookmarkStart w:id="26" w:name="charges"/>
    <w:p>
      <w:pPr>
        <w:pStyle w:val="Heading2"/>
      </w:pPr>
      <w:r>
        <w:t xml:space="preserve">Charges</w:t>
      </w:r>
    </w:p>
    <w:p>
      <w:pPr>
        <w:numPr>
          <w:ilvl w:val="0"/>
          <w:numId w:val="1007"/>
        </w:numPr>
        <w:pStyle w:val="Compact"/>
      </w:pPr>
      <w:r>
        <w:t xml:space="preserve">Taxes, assurance, entretien : payés à même un compte conjoint que chacun alimente tous les mois, selon sa part.</w:t>
      </w:r>
    </w:p>
    <w:p>
      <w:pPr>
        <w:numPr>
          <w:ilvl w:val="0"/>
          <w:numId w:val="1007"/>
        </w:numPr>
        <w:pStyle w:val="Compact"/>
      </w:pPr>
      <w:r>
        <w:t xml:space="preserve">Fonds de prévoyance : « On verra. » Le rapport d’inspection recommande de refaire la toiture d’ici deux ans, pour environ 45 000 $.</w:t>
      </w:r>
    </w:p>
    <w:p>
      <w:pPr>
        <w:numPr>
          <w:ilvl w:val="0"/>
          <w:numId w:val="1007"/>
        </w:numPr>
        <w:pStyle w:val="Compact"/>
      </w:pPr>
      <w:r>
        <w:t xml:space="preserve">Hypothèque : un seul versement mensuel de 5 200 $, prélevé dans le compte conjoint. Chacun en paie sa part. Je leur demande ce qui arrive si l’un d’eux cesse de payer. Silence.</w:t>
      </w:r>
    </w:p>
    <w:bookmarkEnd w:id="26"/>
    <w:bookmarkStart w:id="27" w:name="gérant"/>
    <w:p>
      <w:pPr>
        <w:pStyle w:val="Heading2"/>
      </w:pPr>
      <w:r>
        <w:t xml:space="preserve">Gérant</w:t>
      </w:r>
    </w:p>
    <w:p>
      <w:pPr>
        <w:numPr>
          <w:ilvl w:val="0"/>
          <w:numId w:val="1008"/>
        </w:numPr>
        <w:pStyle w:val="Compact"/>
      </w:pPr>
      <w:r>
        <w:t xml:space="preserve">Jérémie se propose. Les autres sont d’accord. Rémunération : pas discutée.</w:t>
      </w:r>
    </w:p>
    <w:bookmarkEnd w:id="27"/>
    <w:bookmarkStart w:id="28" w:name="décisions"/>
    <w:p>
      <w:pPr>
        <w:pStyle w:val="Heading2"/>
      </w:pPr>
      <w:r>
        <w:t xml:space="preserve">Décisions</w:t>
      </w:r>
    </w:p>
    <w:p>
      <w:pPr>
        <w:numPr>
          <w:ilvl w:val="0"/>
          <w:numId w:val="1009"/>
        </w:numPr>
        <w:pStyle w:val="Compact"/>
      </w:pPr>
      <w:r>
        <w:t xml:space="preserve">Ils veulent que tout se décide à l’unanimité.</w:t>
      </w:r>
    </w:p>
    <w:bookmarkEnd w:id="28"/>
    <w:bookmarkStart w:id="29" w:name="vente-dune-part"/>
    <w:p>
      <w:pPr>
        <w:pStyle w:val="Heading2"/>
      </w:pPr>
      <w:r>
        <w:t xml:space="preserve">Vente d’une part</w:t>
      </w:r>
    </w:p>
    <w:p>
      <w:pPr>
        <w:numPr>
          <w:ilvl w:val="0"/>
          <w:numId w:val="1010"/>
        </w:numPr>
        <w:pStyle w:val="Compact"/>
      </w:pPr>
      <w:r>
        <w:t xml:space="preserve">Si l’un veut vendre, les deux autres veulent avoir le premier choix.</w:t>
      </w:r>
    </w:p>
    <w:p>
      <w:pPr>
        <w:numPr>
          <w:ilvl w:val="0"/>
          <w:numId w:val="1010"/>
        </w:numPr>
        <w:pStyle w:val="Compact"/>
      </w:pPr>
      <w:r>
        <w:t xml:space="preserve">Décès, séparation : pas discuté.</w:t>
      </w:r>
    </w:p>
    <w:bookmarkEnd w:id="29"/>
    <w:bookmarkStart w:id="30" w:name="à-faire"/>
    <w:p>
      <w:pPr>
        <w:pStyle w:val="Heading2"/>
      </w:pPr>
      <w:r>
        <w:t xml:space="preserve">À faire</w:t>
      </w:r>
    </w:p>
    <w:p>
      <w:pPr>
        <w:numPr>
          <w:ilvl w:val="0"/>
          <w:numId w:val="1011"/>
        </w:numPr>
        <w:pStyle w:val="Compact"/>
      </w:pPr>
      <w:r>
        <w:t xml:space="preserve">Obtenir l’acte d’achat et l’acte d’hypothèque.</w:t>
      </w:r>
    </w:p>
    <w:p>
      <w:pPr>
        <w:numPr>
          <w:ilvl w:val="0"/>
          <w:numId w:val="1011"/>
        </w:numPr>
        <w:pStyle w:val="Compact"/>
      </w:pPr>
      <w:r>
        <w:t xml:space="preserve">Recevoir leur tableau.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