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otes-dexamen-des-titres"/>
    <w:p>
      <w:pPr>
        <w:pStyle w:val="Heading1"/>
      </w:pPr>
      <w:r>
        <w:t xml:space="preserve">Notes d’examen des titres</w:t>
      </w:r>
    </w:p>
    <w:p>
      <w:pPr>
        <w:pStyle w:val="FirstParagraph"/>
      </w:pPr>
      <w:r>
        <w:rPr>
          <w:bCs/>
          <w:b/>
        </w:rPr>
        <w:t xml:space="preserve">Étude de Me Laurent Désilets,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2026-0951 — Triplex de la rue Chabot — Convention d’indivision</w:t>
      </w:r>
      <w:r>
        <w:br/>
      </w:r>
      <w:r>
        <w:rPr>
          <w:bCs/>
          <w:b/>
        </w:rPr>
        <w:t xml:space="preserve">Préparées par :</w:t>
      </w:r>
      <w:r>
        <w:t xml:space="preserve"> </w:t>
      </w:r>
      <w:r>
        <w:t xml:space="preserve">Amina Diallo, technicienne juridique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16 octobre 2026</w:t>
      </w:r>
    </w:p>
    <w:p>
      <w:pPr>
        <w:pStyle w:val="BodyText"/>
      </w:pPr>
      <w:r>
        <w:rPr>
          <w:iCs/>
          <w:i/>
        </w:rPr>
        <w:t xml:space="preserve">Document fictif, rédigé pour l’exercice. Les numéros d’inscription sont inventés.</w:t>
      </w:r>
    </w:p>
    <w:bookmarkStart w:id="20" w:name="immeuble"/>
    <w:p>
      <w:pPr>
        <w:pStyle w:val="Heading2"/>
      </w:pPr>
      <w:r>
        <w:t xml:space="preserve">Immeuble</w:t>
      </w:r>
    </w:p>
    <w:p>
      <w:pPr>
        <w:pStyle w:val="FirstParagraph"/>
      </w:pPr>
      <w:r>
        <w:t xml:space="preserve">Lot 2 345 678 du cadastre du Québec, circonscription foncière de Montréal. Avec bâtisse portant les numéros 6410, 6412 et 6414, rue Chabot, Montréal.</w:t>
      </w:r>
    </w:p>
    <w:bookmarkEnd w:id="20"/>
    <w:bookmarkStart w:id="21" w:name="titre"/>
    <w:p>
      <w:pPr>
        <w:pStyle w:val="Heading2"/>
      </w:pPr>
      <w:r>
        <w:t xml:space="preserve">Titre</w:t>
      </w:r>
    </w:p>
    <w:p>
      <w:pPr>
        <w:numPr>
          <w:ilvl w:val="0"/>
          <w:numId w:val="1001"/>
        </w:numPr>
        <w:pStyle w:val="Compact"/>
      </w:pPr>
      <w:r>
        <w:t xml:space="preserve">Vente par Succession Aurore Deschamps à</w:t>
      </w:r>
      <w:r>
        <w:t xml:space="preserve"> </w:t>
      </w:r>
      <w:r>
        <w:rPr>
          <w:bCs/>
          <w:b/>
        </w:rPr>
        <w:t xml:space="preserve">Camille Bouchard, Jérémie Lavoie et Antoine Rivard</w:t>
      </w:r>
      <w:r>
        <w:t xml:space="preserve">, reçue par Me Nadine Perreault, notaire, le 28 août 2026, publiée à Montréal sous le numéro 31 200 888.</w:t>
      </w:r>
    </w:p>
    <w:p>
      <w:pPr>
        <w:numPr>
          <w:ilvl w:val="0"/>
          <w:numId w:val="1001"/>
        </w:numPr>
        <w:pStyle w:val="Compact"/>
      </w:pPr>
      <w:r>
        <w:t xml:space="preserve">L’acte indique que les acquéreurs achètent</w:t>
      </w:r>
      <w:r>
        <w:t xml:space="preserve"> </w:t>
      </w:r>
      <w:r>
        <w:rPr>
          <w:bCs/>
          <w:b/>
        </w:rPr>
        <w:t xml:space="preserve">« chacun pour un tiers indivis (1/3) »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Mme Maude Nguyen n’est pas partie à l’acte de vente.</w:t>
      </w:r>
    </w:p>
    <w:p>
      <w:pPr>
        <w:numPr>
          <w:ilvl w:val="0"/>
          <w:numId w:val="1001"/>
        </w:numPr>
        <w:pStyle w:val="Compact"/>
      </w:pPr>
      <w:r>
        <w:t xml:space="preserve">Prix : 1 200 000 $.</w:t>
      </w:r>
    </w:p>
    <w:bookmarkEnd w:id="21"/>
    <w:bookmarkStart w:id="22" w:name="hypothèque"/>
    <w:p>
      <w:pPr>
        <w:pStyle w:val="Heading2"/>
      </w:pPr>
      <w:r>
        <w:t xml:space="preserve">Hypothèque</w:t>
      </w:r>
    </w:p>
    <w:p>
      <w:pPr>
        <w:numPr>
          <w:ilvl w:val="0"/>
          <w:numId w:val="1002"/>
        </w:numPr>
        <w:pStyle w:val="Compact"/>
      </w:pPr>
      <w:r>
        <w:t xml:space="preserve">Hypothèque en faveur de la Banque Laurentide du Nord, reçue par Me Nadine Perreault, notaire, le 28 août 2026, publiée sous le numéro 31 200 889. Montant : 900 000 $.</w:t>
      </w:r>
    </w:p>
    <w:p>
      <w:pPr>
        <w:numPr>
          <w:ilvl w:val="0"/>
          <w:numId w:val="1002"/>
        </w:numPr>
        <w:pStyle w:val="Compact"/>
      </w:pPr>
      <w:r>
        <w:t xml:space="preserve">Emprunteurs : Camille Bouchard, Jérémie Lavoie et Antoine Rivard,</w:t>
      </w:r>
      <w:r>
        <w:t xml:space="preserve"> </w:t>
      </w:r>
      <w:r>
        <w:rPr>
          <w:bCs/>
          <w:b/>
        </w:rPr>
        <w:t xml:space="preserve">solidairement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Caution : Maude Nguyen.</w:t>
      </w:r>
    </w:p>
    <w:p>
      <w:pPr>
        <w:numPr>
          <w:ilvl w:val="0"/>
          <w:numId w:val="1002"/>
        </w:numPr>
        <w:pStyle w:val="Compact"/>
      </w:pPr>
      <w:r>
        <w:t xml:space="preserve">Clause 14 : les emprunteurs s’engagent à signer et à publier, dans les 90 jours, une convention d’indivision à laquelle la banque interviendra. La convention doit prévoir que le droit de préemption et le droit de retrait des indivisaires ne sont pas opposables à la banque.</w:t>
      </w:r>
    </w:p>
    <w:p>
      <w:pPr>
        <w:numPr>
          <w:ilvl w:val="0"/>
          <w:numId w:val="1002"/>
        </w:numPr>
        <w:pStyle w:val="Compact"/>
      </w:pPr>
      <w:r>
        <w:t xml:space="preserve">Le délai de 90 jours expire le</w:t>
      </w:r>
      <w:r>
        <w:t xml:space="preserve"> </w:t>
      </w:r>
      <w:r>
        <w:rPr>
          <w:bCs/>
          <w:b/>
        </w:rPr>
        <w:t xml:space="preserve">26 novembre 2026</w:t>
      </w:r>
      <w:r>
        <w:t xml:space="preserve">.</w:t>
      </w:r>
    </w:p>
    <w:bookmarkEnd w:id="22"/>
    <w:bookmarkStart w:id="23" w:name="autres-inscriptions"/>
    <w:p>
      <w:pPr>
        <w:pStyle w:val="Heading2"/>
      </w:pPr>
      <w:r>
        <w:t xml:space="preserve">Autres inscriptions</w:t>
      </w:r>
    </w:p>
    <w:p>
      <w:pPr>
        <w:numPr>
          <w:ilvl w:val="0"/>
          <w:numId w:val="1003"/>
        </w:numPr>
        <w:pStyle w:val="Compact"/>
      </w:pPr>
      <w:r>
        <w:t xml:space="preserve">Servitude de vue en faveur du lot voisin (2 345 679), publiée le 3 mai 1987 sous le numéro 3 900 123.</w:t>
      </w:r>
    </w:p>
    <w:p>
      <w:pPr>
        <w:numPr>
          <w:ilvl w:val="0"/>
          <w:numId w:val="1003"/>
        </w:numPr>
        <w:pStyle w:val="Compact"/>
      </w:pPr>
      <w:r>
        <w:t xml:space="preserve">Aucune autre inscription.</w:t>
      </w:r>
    </w:p>
    <w:bookmarkEnd w:id="23"/>
    <w:bookmarkStart w:id="24" w:name="renseignements-complémentaires"/>
    <w:p>
      <w:pPr>
        <w:pStyle w:val="Heading2"/>
      </w:pPr>
      <w:r>
        <w:t xml:space="preserve">Renseignements complémentaires</w:t>
      </w:r>
    </w:p>
    <w:p>
      <w:pPr>
        <w:numPr>
          <w:ilvl w:val="0"/>
          <w:numId w:val="1004"/>
        </w:numPr>
        <w:pStyle w:val="Compact"/>
      </w:pPr>
      <w:r>
        <w:t xml:space="preserve">Certificat de localisation du 15 juillet 2026 : deux espaces de stationnement à l’arrière, accessibles par la ruelle.</w:t>
      </w:r>
    </w:p>
    <w:p>
      <w:pPr>
        <w:numPr>
          <w:ilvl w:val="0"/>
          <w:numId w:val="1004"/>
        </w:numPr>
        <w:pStyle w:val="Compact"/>
      </w:pPr>
      <w:r>
        <w:t xml:space="preserve">Zonage : résidentiel, trois logements au maximum.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