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notes-dentrevue"/>
    <w:p>
      <w:pPr>
        <w:pStyle w:val="Heading1"/>
      </w:pPr>
      <w:r>
        <w:t xml:space="preserve">Notes d’entrevue</w:t>
      </w:r>
    </w:p>
    <w:p>
      <w:pPr>
        <w:pStyle w:val="FirstParagraph"/>
      </w:pPr>
      <w:r>
        <w:rPr>
          <w:bCs/>
          <w:b/>
        </w:rPr>
        <w:t xml:space="preserve">Étude de Me Élise Fontaine,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2026-0412 — Gélinas, Monique — Mandat de protection</w:t>
      </w:r>
      <w:r>
        <w:br/>
      </w:r>
      <w:r>
        <w:rPr>
          <w:bCs/>
          <w:b/>
        </w:rPr>
        <w:t xml:space="preserve">Rencontre du :</w:t>
      </w:r>
      <w:r>
        <w:t xml:space="preserve"> </w:t>
      </w:r>
      <w:r>
        <w:t xml:space="preserve">24 septembre 2026, 13 h 30 à 14 h 45, à l’étude</w:t>
      </w:r>
      <w:r>
        <w:br/>
      </w:r>
      <w:r>
        <w:rPr>
          <w:bCs/>
          <w:b/>
        </w:rPr>
        <w:t xml:space="preserve">Présentes :</w:t>
      </w:r>
      <w:r>
        <w:t xml:space="preserve"> </w:t>
      </w:r>
      <w:r>
        <w:t xml:space="preserve">Mme Monique Gélinas ; sa fille, Mme Stéphanie Tessier (toute la rencontre)</w:t>
      </w:r>
    </w:p>
    <w:p>
      <w:pPr>
        <w:pStyle w:val="BodyText"/>
      </w:pPr>
      <w:r>
        <w:rPr>
          <w:iCs/>
          <w:i/>
        </w:rPr>
        <w:t xml:space="preserve">Notes prises pendant la rencontre, à mettre au propre.</w:t>
      </w:r>
    </w:p>
    <w:bookmarkStart w:id="20" w:name="identité"/>
    <w:p>
      <w:pPr>
        <w:pStyle w:val="Heading2"/>
      </w:pPr>
      <w:r>
        <w:t xml:space="preserve">Identité</w:t>
      </w:r>
    </w:p>
    <w:p>
      <w:pPr>
        <w:numPr>
          <w:ilvl w:val="0"/>
          <w:numId w:val="1001"/>
        </w:numPr>
        <w:pStyle w:val="Compact"/>
      </w:pPr>
      <w:r>
        <w:t xml:space="preserve">Monique GÉLINAS, née le 14 mai 1954 à Shawinigan. Pharmacienne retraitée (a vendu sa pharmacie en 2018).</w:t>
      </w:r>
    </w:p>
    <w:p>
      <w:pPr>
        <w:numPr>
          <w:ilvl w:val="0"/>
          <w:numId w:val="1001"/>
        </w:numPr>
        <w:pStyle w:val="Compact"/>
      </w:pPr>
      <w:r>
        <w:t xml:space="preserve">Adresse : 1185, rue des Érables, Trois-Rivières (Québec).</w:t>
      </w:r>
    </w:p>
    <w:p>
      <w:pPr>
        <w:numPr>
          <w:ilvl w:val="0"/>
          <w:numId w:val="1001"/>
        </w:numPr>
        <w:pStyle w:val="Compact"/>
      </w:pPr>
      <w:r>
        <w:t xml:space="preserve">Pièces d’identité vues : permis de conduire et carte d’assurance maladie. Copies au dossier.</w:t>
      </w:r>
    </w:p>
    <w:p>
      <w:pPr>
        <w:numPr>
          <w:ilvl w:val="0"/>
          <w:numId w:val="1001"/>
        </w:numPr>
        <w:pStyle w:val="Compact"/>
      </w:pPr>
      <w:r>
        <w:t xml:space="preserve">Veuve de Gilles Tessier, décédé le 3 novembre 2016. Jamais remariée.</w:t>
      </w:r>
    </w:p>
    <w:p>
      <w:pPr>
        <w:numPr>
          <w:ilvl w:val="0"/>
          <w:numId w:val="1001"/>
        </w:numPr>
        <w:pStyle w:val="Compact"/>
      </w:pPr>
      <w:r>
        <w:t xml:space="preserve">Vit avec M. Robert Lemay, enseignant retraité, 74 ans, depuis l’été 2019. Pas mariés, pas de contrat de vie commune. M. Lemay a vendu son condo en 2020 et habite chez Madame.</w:t>
      </w:r>
    </w:p>
    <w:p>
      <w:pPr>
        <w:numPr>
          <w:ilvl w:val="0"/>
          <w:numId w:val="1001"/>
        </w:numPr>
        <w:pStyle w:val="Compact"/>
      </w:pPr>
      <w:r>
        <w:t xml:space="preserve">Deux enfants, majeurs tous les deux : Stéphanie (46 ans, CPA, Trois-Rivières) et Marc-André (43 ans, ingénieur, Calgary depuis 2014).</w:t>
      </w:r>
    </w:p>
    <w:p>
      <w:pPr>
        <w:numPr>
          <w:ilvl w:val="0"/>
          <w:numId w:val="1001"/>
        </w:numPr>
        <w:pStyle w:val="Compact"/>
      </w:pPr>
      <w:r>
        <w:t xml:space="preserve">Deux petits-enfants : Léa (16 ans) et Thomas (11 ans), les enfants de Stéphanie.</w:t>
      </w:r>
    </w:p>
    <w:bookmarkEnd w:id="20"/>
    <w:bookmarkStart w:id="21" w:name="pourquoi-maintenant"/>
    <w:p>
      <w:pPr>
        <w:pStyle w:val="Heading2"/>
      </w:pPr>
      <w:r>
        <w:t xml:space="preserve">Pourquoi maintenant</w:t>
      </w:r>
    </w:p>
    <w:p>
      <w:pPr>
        <w:numPr>
          <w:ilvl w:val="0"/>
          <w:numId w:val="1002"/>
        </w:numPr>
        <w:pStyle w:val="Compact"/>
      </w:pPr>
      <w:r>
        <w:t xml:space="preserve">Madame dit qu’elle veut « mettre ses papiers en ordre ». Son ancien mandat nomme son mari décédé.</w:t>
      </w:r>
    </w:p>
    <w:p>
      <w:pPr>
        <w:numPr>
          <w:ilvl w:val="0"/>
          <w:numId w:val="1002"/>
        </w:numPr>
        <w:pStyle w:val="Compact"/>
      </w:pPr>
      <w:r>
        <w:t xml:space="preserve">C’est Stéphanie qui a pris le rendez-vous. Elle répond souvent avant sa mère. À deux reprises, Madame a cherché une date (année du décès de Gilles, année de la vente de la pharmacie) et Stéphanie l’a donnée.</w:t>
      </w:r>
    </w:p>
    <w:p>
      <w:pPr>
        <w:numPr>
          <w:ilvl w:val="0"/>
          <w:numId w:val="1002"/>
        </w:numPr>
        <w:pStyle w:val="Compact"/>
      </w:pPr>
      <w:r>
        <w:t xml:space="preserve">Madame dit être en bonne santé, « à part la mémoire qui joue des tours ». Elle est suivie par sa médecin de famille, la Dre Annie Vachon. Je n’ai pas posé plus de questions devant sa fille.</w:t>
      </w:r>
    </w:p>
    <w:bookmarkEnd w:id="21"/>
    <w:bookmarkStart w:id="22" w:name="mandataires"/>
    <w:p>
      <w:pPr>
        <w:pStyle w:val="Heading2"/>
      </w:pPr>
      <w:r>
        <w:t xml:space="preserve">Mandataires</w:t>
      </w:r>
    </w:p>
    <w:p>
      <w:pPr>
        <w:numPr>
          <w:ilvl w:val="0"/>
          <w:numId w:val="1003"/>
        </w:numPr>
        <w:pStyle w:val="Compact"/>
      </w:pPr>
      <w:r>
        <w:t xml:space="preserve">Aux biens : Stéphanie. « Elle s’occupe déjà de mes impôts, c’est son métier. »</w:t>
      </w:r>
    </w:p>
    <w:p>
      <w:pPr>
        <w:numPr>
          <w:ilvl w:val="0"/>
          <w:numId w:val="1003"/>
        </w:numPr>
        <w:pStyle w:val="Compact"/>
      </w:pPr>
      <w:r>
        <w:t xml:space="preserve">À la personne : « Mes deux enfants ensemble, je ne veux pas de chicane. »</w:t>
      </w:r>
    </w:p>
    <w:p>
      <w:pPr>
        <w:numPr>
          <w:ilvl w:val="0"/>
          <w:numId w:val="1003"/>
        </w:numPr>
        <w:pStyle w:val="Compact"/>
      </w:pPr>
      <w:r>
        <w:t xml:space="preserve">Remplaçant : Madame n’y a pas pensé. Stéphanie dit : « On verra ça rendu là. » À rediscuter.</w:t>
      </w:r>
    </w:p>
    <w:p>
      <w:pPr>
        <w:numPr>
          <w:ilvl w:val="0"/>
          <w:numId w:val="1003"/>
        </w:numPr>
        <w:pStyle w:val="Compact"/>
      </w:pPr>
      <w:r>
        <w:t xml:space="preserve">Stéphanie est au courant et accepte. Marc-André n’a pas encore été avisé de quoi que ce soit.</w:t>
      </w:r>
    </w:p>
    <w:bookmarkEnd w:id="22"/>
    <w:bookmarkStart w:id="23" w:name="administration"/>
    <w:p>
      <w:pPr>
        <w:pStyle w:val="Heading2"/>
      </w:pPr>
      <w:r>
        <w:t xml:space="preserve">Administration</w:t>
      </w:r>
    </w:p>
    <w:p>
      <w:pPr>
        <w:numPr>
          <w:ilvl w:val="0"/>
          <w:numId w:val="1004"/>
        </w:numPr>
        <w:pStyle w:val="Compact"/>
      </w:pPr>
      <w:r>
        <w:t xml:space="preserve">Rémunération : aucune. Stéphanie ne veut pas être payée. Remboursement des dépenses seulement.</w:t>
      </w:r>
    </w:p>
    <w:p>
      <w:pPr>
        <w:numPr>
          <w:ilvl w:val="0"/>
          <w:numId w:val="1004"/>
        </w:numPr>
        <w:pStyle w:val="Compact"/>
      </w:pPr>
      <w:r>
        <w:t xml:space="preserve">Inventaire : le plus simple possible. Pas besoin d’énumérer les meubles.</w:t>
      </w:r>
    </w:p>
    <w:p>
      <w:pPr>
        <w:numPr>
          <w:ilvl w:val="0"/>
          <w:numId w:val="1004"/>
        </w:numPr>
        <w:pStyle w:val="Compact"/>
      </w:pPr>
      <w:r>
        <w:t xml:space="preserve">Reddition de comptes : Madame veut que Marc-André « garde un œil », une fois par année. Elle ne veut pas que ce soit compliqué pour Stéphanie.</w:t>
      </w:r>
    </w:p>
    <w:p>
      <w:pPr>
        <w:numPr>
          <w:ilvl w:val="0"/>
          <w:numId w:val="1004"/>
        </w:numPr>
        <w:pStyle w:val="Compact"/>
      </w:pPr>
      <w:r>
        <w:t xml:space="preserve">Placements : « Rien de risqué. Je ne veux pas qu’on joue à la bourse avec mon argent. »</w:t>
      </w:r>
    </w:p>
    <w:bookmarkEnd w:id="23"/>
    <w:bookmarkStart w:id="24" w:name="X91350074ab4aa8198340c858aa7efeff4a24a09"/>
    <w:p>
      <w:pPr>
        <w:pStyle w:val="Heading2"/>
      </w:pPr>
      <w:r>
        <w:t xml:space="preserve">Ses biens (voir le bilan qu’elle doit m’envoyer)</w:t>
      </w:r>
    </w:p>
    <w:p>
      <w:pPr>
        <w:numPr>
          <w:ilvl w:val="0"/>
          <w:numId w:val="1005"/>
        </w:numPr>
        <w:pStyle w:val="Compact"/>
      </w:pPr>
      <w:r>
        <w:t xml:space="preserve">La maison de la rue des Érables, à son nom seul.</w:t>
      </w:r>
    </w:p>
    <w:p>
      <w:pPr>
        <w:numPr>
          <w:ilvl w:val="0"/>
          <w:numId w:val="1005"/>
        </w:numPr>
        <w:pStyle w:val="Compact"/>
      </w:pPr>
      <w:r>
        <w:t xml:space="preserve">Un chalet au lac Souris, à Saint-Mathieu-du-Parc. « Le chalet ne se vend pas. Il reste dans la famille. » Stéphanie ajoute qu’elle aimerait le racheter un jour. Madame : « Si elle le veut, qu’elle le paie le juste prix, comme n’importe qui. »</w:t>
      </w:r>
    </w:p>
    <w:p>
      <w:pPr>
        <w:numPr>
          <w:ilvl w:val="0"/>
          <w:numId w:val="1005"/>
        </w:numPr>
        <w:pStyle w:val="Compact"/>
      </w:pPr>
      <w:r>
        <w:t xml:space="preserve">Une compagnie de gestion, Gestion M. Gélinas inc., dont elle est la seule actionnaire et la seule administratrice. La compagnie possède un immeuble de six logements à Shawinigan.</w:t>
      </w:r>
    </w:p>
    <w:p>
      <w:pPr>
        <w:numPr>
          <w:ilvl w:val="0"/>
          <w:numId w:val="1005"/>
        </w:numPr>
        <w:pStyle w:val="Compact"/>
      </w:pPr>
      <w:r>
        <w:t xml:space="preserve">Des placements chez un courtier, un FERR, un CELI.</w:t>
      </w:r>
    </w:p>
    <w:p>
      <w:pPr>
        <w:numPr>
          <w:ilvl w:val="0"/>
          <w:numId w:val="1005"/>
        </w:numPr>
        <w:pStyle w:val="Compact"/>
      </w:pPr>
      <w:r>
        <w:t xml:space="preserve">Elle cotise à un REEE pour chacun de ses deux petits-enfants et veut que ça continue.</w:t>
      </w:r>
    </w:p>
    <w:bookmarkEnd w:id="24"/>
    <w:bookmarkStart w:id="25" w:name="robert"/>
    <w:p>
      <w:pPr>
        <w:pStyle w:val="Heading2"/>
      </w:pPr>
      <w:r>
        <w:t xml:space="preserve">Robert</w:t>
      </w:r>
    </w:p>
    <w:p>
      <w:pPr>
        <w:numPr>
          <w:ilvl w:val="0"/>
          <w:numId w:val="1006"/>
        </w:numPr>
        <w:pStyle w:val="Compact"/>
      </w:pPr>
      <w:r>
        <w:t xml:space="preserve">Madame veut que Robert puisse rester dans la maison si elle doit aller en résidence. « Je ne veux pas qu’on le mette dehors. »</w:t>
      </w:r>
    </w:p>
    <w:p>
      <w:pPr>
        <w:numPr>
          <w:ilvl w:val="0"/>
          <w:numId w:val="1006"/>
        </w:numPr>
        <w:pStyle w:val="Compact"/>
      </w:pPr>
      <w:r>
        <w:t xml:space="preserve">Stéphanie : « Pour un bout de temps, oui. Mais pas indéfiniment, la maison coûte cher. »</w:t>
      </w:r>
    </w:p>
    <w:p>
      <w:pPr>
        <w:numPr>
          <w:ilvl w:val="0"/>
          <w:numId w:val="1006"/>
        </w:numPr>
        <w:pStyle w:val="Compact"/>
      </w:pPr>
      <w:r>
        <w:t xml:space="preserve">Madame n’a pas répondu. À clarifier avec elle : combien de temps ? Qui paie les taxes et l’entretien ? Et si la maison doit être vendue pour payer sa résidence ?</w:t>
      </w:r>
    </w:p>
    <w:p>
      <w:pPr>
        <w:numPr>
          <w:ilvl w:val="0"/>
          <w:numId w:val="1006"/>
        </w:numPr>
        <w:pStyle w:val="Compact"/>
      </w:pPr>
      <w:r>
        <w:t xml:space="preserve">Elle veut aussi qu’on continue à payer l’épicerie et les dépenses courantes de la maison comme maintenant.</w:t>
      </w:r>
    </w:p>
    <w:bookmarkEnd w:id="25"/>
    <w:bookmarkStart w:id="26" w:name="cadeaux"/>
    <w:p>
      <w:pPr>
        <w:pStyle w:val="Heading2"/>
      </w:pPr>
      <w:r>
        <w:t xml:space="preserve">Cadeaux</w:t>
      </w:r>
    </w:p>
    <w:p>
      <w:pPr>
        <w:numPr>
          <w:ilvl w:val="0"/>
          <w:numId w:val="1007"/>
        </w:numPr>
        <w:pStyle w:val="Compact"/>
      </w:pPr>
      <w:r>
        <w:t xml:space="preserve">Continuer les cadeaux de fête et de Noël aux petits-enfants, « 200 $ chacun, pas plus ».</w:t>
      </w:r>
    </w:p>
    <w:p>
      <w:pPr>
        <w:numPr>
          <w:ilvl w:val="0"/>
          <w:numId w:val="1007"/>
        </w:numPr>
        <w:pStyle w:val="Compact"/>
      </w:pPr>
      <w:r>
        <w:t xml:space="preserve">Continuer ses dons annuels aux organismes qu’elle appuie déjà.</w:t>
      </w:r>
    </w:p>
    <w:bookmarkEnd w:id="26"/>
    <w:bookmarkStart w:id="27" w:name="soins-et-fin-de-vie"/>
    <w:p>
      <w:pPr>
        <w:pStyle w:val="Heading2"/>
      </w:pPr>
      <w:r>
        <w:t xml:space="preserve">Soins et fin de vie</w:t>
      </w:r>
    </w:p>
    <w:p>
      <w:pPr>
        <w:numPr>
          <w:ilvl w:val="0"/>
          <w:numId w:val="1008"/>
        </w:numPr>
        <w:pStyle w:val="Compact"/>
      </w:pPr>
      <w:r>
        <w:t xml:space="preserve">Pas d’acharnement. « Je ne veux pas rester branchée. » Elle veut mourir dignement.</w:t>
      </w:r>
    </w:p>
    <w:p>
      <w:pPr>
        <w:numPr>
          <w:ilvl w:val="0"/>
          <w:numId w:val="1008"/>
        </w:numPr>
        <w:pStyle w:val="Compact"/>
      </w:pPr>
      <w:r>
        <w:t xml:space="preserve">Directives médicales anticipées : « J’ai rempli le formulaire du gouvernement il y a quelques années, je pense. » Elle n’en est pas certaine et n’a pas de copie. À vérifier.</w:t>
      </w:r>
    </w:p>
    <w:p>
      <w:pPr>
        <w:numPr>
          <w:ilvl w:val="0"/>
          <w:numId w:val="1008"/>
        </w:numPr>
        <w:pStyle w:val="Compact"/>
      </w:pPr>
      <w:r>
        <w:t xml:space="preserve">Don d’organes : oui, pour sauver quelqu’un. Pas pour la recherche.</w:t>
      </w:r>
    </w:p>
    <w:p>
      <w:pPr>
        <w:numPr>
          <w:ilvl w:val="0"/>
          <w:numId w:val="1008"/>
        </w:numPr>
        <w:pStyle w:val="Compact"/>
      </w:pPr>
      <w:r>
        <w:t xml:space="preserve">Hébergement : rester chez elle le plus longtemps possible, quitte à payer de l’aide à domicile.</w:t>
      </w:r>
    </w:p>
    <w:p>
      <w:pPr>
        <w:numPr>
          <w:ilvl w:val="0"/>
          <w:numId w:val="1008"/>
        </w:numPr>
        <w:pStyle w:val="Compact"/>
      </w:pPr>
      <w:r>
        <w:t xml:space="preserve">Elle n’est pas pratiquante. Pas d’aumônier.</w:t>
      </w:r>
    </w:p>
    <w:p>
      <w:pPr>
        <w:numPr>
          <w:ilvl w:val="0"/>
          <w:numId w:val="1008"/>
        </w:numPr>
        <w:pStyle w:val="Compact"/>
      </w:pPr>
      <w:r>
        <w:t xml:space="preserve">Elle tient à être coiffée et habillée tous les jours. « Et qu’on me mette ma musique. »</w:t>
      </w:r>
    </w:p>
    <w:p>
      <w:pPr>
        <w:numPr>
          <w:ilvl w:val="0"/>
          <w:numId w:val="1008"/>
        </w:numPr>
        <w:pStyle w:val="Compact"/>
      </w:pPr>
      <w:r>
        <w:t xml:space="preserve">Réévaluations : elle ne voit pas l’intérêt de se faire réévaluer aux deux ans si elle est inapte pour de bon.</w:t>
      </w:r>
    </w:p>
    <w:bookmarkEnd w:id="27"/>
    <w:bookmarkStart w:id="28" w:name="à-faire"/>
    <w:p>
      <w:pPr>
        <w:pStyle w:val="Heading2"/>
      </w:pPr>
      <w:r>
        <w:t xml:space="preserve">À faire</w:t>
      </w:r>
    </w:p>
    <w:p>
      <w:pPr>
        <w:numPr>
          <w:ilvl w:val="0"/>
          <w:numId w:val="1009"/>
        </w:numPr>
        <w:pStyle w:val="Compact"/>
      </w:pPr>
      <w:r>
        <w:t xml:space="preserve">Recevoir le bilan de Madame.</w:t>
      </w:r>
    </w:p>
    <w:p>
      <w:pPr>
        <w:numPr>
          <w:ilvl w:val="0"/>
          <w:numId w:val="1009"/>
        </w:numPr>
        <w:pStyle w:val="Compact"/>
      </w:pPr>
      <w:r>
        <w:t xml:space="preserve">Recherche au registre des mandats.</w:t>
      </w:r>
    </w:p>
    <w:p>
      <w:pPr>
        <w:numPr>
          <w:ilvl w:val="0"/>
          <w:numId w:val="1009"/>
        </w:numPr>
        <w:pStyle w:val="Compact"/>
      </w:pPr>
      <w:r>
        <w:t xml:space="preserve">Revoir Madame avant la signature pour les points en suspens.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