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otes-dexamen-des-titres"/>
    <w:p>
      <w:pPr>
        <w:pStyle w:val="Heading1"/>
      </w:pPr>
      <w:r>
        <w:t xml:space="preserve">Notes d’examen des titres</w:t>
      </w:r>
    </w:p>
    <w:p>
      <w:pPr>
        <w:pStyle w:val="FirstParagraph"/>
      </w:pPr>
      <w:r>
        <w:rPr>
          <w:bCs/>
          <w:b/>
        </w:rPr>
        <w:t xml:space="preserve">Étude de Me Isabelle Champagne, notaire</w:t>
      </w:r>
      <w:r>
        <w:br/>
      </w:r>
      <w:r>
        <w:rPr>
          <w:bCs/>
          <w:b/>
        </w:rPr>
        <w:t xml:space="preserve">Dossier :</w:t>
      </w:r>
      <w:r>
        <w:t xml:space="preserve"> </w:t>
      </w:r>
      <w:r>
        <w:t xml:space="preserve">2026-0298 — Girard, Nathalie — Servitude de passage</w:t>
      </w:r>
      <w:r>
        <w:br/>
      </w:r>
      <w:r>
        <w:rPr>
          <w:bCs/>
          <w:b/>
        </w:rPr>
        <w:t xml:space="preserve">Préparées par :</w:t>
      </w:r>
      <w:r>
        <w:t xml:space="preserve"> </w:t>
      </w:r>
      <w:r>
        <w:t xml:space="preserve">Marc Veilleux, technicien juridique</w:t>
      </w:r>
      <w:r>
        <w:br/>
      </w:r>
      <w:r>
        <w:rPr>
          <w:bCs/>
          <w:b/>
        </w:rPr>
        <w:t xml:space="preserve">Date :</w:t>
      </w:r>
      <w:r>
        <w:t xml:space="preserve"> </w:t>
      </w:r>
      <w:r>
        <w:t xml:space="preserve">14 octobre 2026</w:t>
      </w:r>
    </w:p>
    <w:p>
      <w:pPr>
        <w:pStyle w:val="BodyText"/>
      </w:pPr>
      <w:r>
        <w:rPr>
          <w:iCs/>
          <w:i/>
        </w:rPr>
        <w:t xml:space="preserve">Document fictif, rédigé pour l’exercice. Les numéros d’inscription sont inventés.</w:t>
      </w:r>
    </w:p>
    <w:bookmarkStart w:id="20" w:name="lot-5-111-222-la-terre-enclavée"/>
    <w:p>
      <w:pPr>
        <w:pStyle w:val="Heading2"/>
      </w:pPr>
      <w:r>
        <w:t xml:space="preserve">Lot 5 111 222 — la terre enclavée</w:t>
      </w:r>
    </w:p>
    <w:p>
      <w:pPr>
        <w:numPr>
          <w:ilvl w:val="0"/>
          <w:numId w:val="1001"/>
        </w:numPr>
        <w:pStyle w:val="Compact"/>
      </w:pPr>
      <w:r>
        <w:t xml:space="preserve">Cadastre du Québec, circonscription foncière de Frontenac. Terre à bois sans bâtiment, d’environ 18 hectares.</w:t>
      </w:r>
    </w:p>
    <w:p>
      <w:pPr>
        <w:numPr>
          <w:ilvl w:val="0"/>
          <w:numId w:val="1001"/>
        </w:numPr>
        <w:pStyle w:val="Compact"/>
      </w:pPr>
      <w:r>
        <w:rPr>
          <w:bCs/>
          <w:b/>
        </w:rPr>
        <w:t xml:space="preserve">Propriétaire :</w:t>
      </w:r>
      <w:r>
        <w:t xml:space="preserve"> </w:t>
      </w:r>
      <w:r>
        <w:t xml:space="preserve">Nathalie Girard, à titre de seule héritière de Fernand Girard, décédé le 2 février 2023, selon la déclaration de transmission reçue par Me Louis Bolduc, notaire, le 9 juin 2023, publiée sous le numéro 28 100 444.</w:t>
      </w:r>
    </w:p>
    <w:p>
      <w:pPr>
        <w:numPr>
          <w:ilvl w:val="0"/>
          <w:numId w:val="1001"/>
        </w:numPr>
        <w:pStyle w:val="Compact"/>
      </w:pPr>
      <w:r>
        <w:t xml:space="preserve">Aucune hypothèque. Aucune servitude publiée, ni active ni passive.</w:t>
      </w:r>
    </w:p>
    <w:p>
      <w:pPr>
        <w:numPr>
          <w:ilvl w:val="0"/>
          <w:numId w:val="1001"/>
        </w:numPr>
        <w:pStyle w:val="Compact"/>
      </w:pPr>
      <w:r>
        <w:t xml:space="preserve">Le lot ne touche à aucun chemin public. Il est bordé au sud par le lot 5 111 221, et sur les autres côtés par des terres privées et par un lot appartenant à la municipalité.</w:t>
      </w:r>
    </w:p>
    <w:bookmarkEnd w:id="20"/>
    <w:bookmarkStart w:id="21" w:name="lot-5-111-221-la-terre-du-voisin"/>
    <w:p>
      <w:pPr>
        <w:pStyle w:val="Heading2"/>
      </w:pPr>
      <w:r>
        <w:t xml:space="preserve">Lot 5 111 221 — la terre du voisin</w:t>
      </w:r>
    </w:p>
    <w:p>
      <w:pPr>
        <w:numPr>
          <w:ilvl w:val="0"/>
          <w:numId w:val="1002"/>
        </w:numPr>
        <w:pStyle w:val="Compact"/>
      </w:pPr>
      <w:r>
        <w:t xml:space="preserve">Cadastre du Québec, circonscription foncière de Frontenac. Terre d’environ 42 hectares, avec maison, cabane à sucre et bâtiments. Adresse : 214, rang des Érables, Saint-Romain.</w:t>
      </w:r>
    </w:p>
    <w:p>
      <w:pPr>
        <w:numPr>
          <w:ilvl w:val="0"/>
          <w:numId w:val="1002"/>
        </w:numPr>
        <w:pStyle w:val="Compact"/>
      </w:pPr>
      <w:r>
        <w:rPr>
          <w:bCs/>
          <w:b/>
        </w:rPr>
        <w:t xml:space="preserve">Propriétaires :</w:t>
      </w:r>
      <w:r>
        <w:t xml:space="preserve"> </w:t>
      </w:r>
      <w:r>
        <w:rPr>
          <w:bCs/>
          <w:b/>
        </w:rPr>
        <w:t xml:space="preserve">Raymond Pelletier et Gaston Pelletier, chacun pour une moitié indivise</w:t>
      </w:r>
      <w:r>
        <w:t xml:space="preserve">, à titre de légataires de leur père, Armand Pelletier, selon la déclaration de transmission reçue par Me Louis Bolduc, notaire, le 17 octobre 1994, publiée sous le numéro 210 555. Aucun acte de partage ni de cession entre les deux frères n’est publié.</w:t>
      </w:r>
    </w:p>
    <w:p>
      <w:pPr>
        <w:numPr>
          <w:ilvl w:val="0"/>
          <w:numId w:val="1002"/>
        </w:numPr>
        <w:pStyle w:val="Compact"/>
      </w:pPr>
      <w:r>
        <w:rPr>
          <w:bCs/>
          <w:b/>
        </w:rPr>
        <w:t xml:space="preserve">Hypothèque</w:t>
      </w:r>
      <w:r>
        <w:t xml:space="preserve"> </w:t>
      </w:r>
      <w:r>
        <w:t xml:space="preserve">en faveur de la Caisse de la Région de Mégantic, reçue par Me Louis Bolduc, notaire, le 4 mars 2018, publiée sous le numéro 23 600 777. Montant : 180 000 $. Signée par Raymond Pelletier et Gaston Pelletier.</w:t>
      </w:r>
    </w:p>
    <w:p>
      <w:pPr>
        <w:numPr>
          <w:ilvl w:val="0"/>
          <w:numId w:val="1002"/>
        </w:numPr>
        <w:pStyle w:val="Compact"/>
      </w:pPr>
      <w:r>
        <w:t xml:space="preserve">Aucune servitude de passage publiée.</w:t>
      </w:r>
    </w:p>
    <w:bookmarkEnd w:id="21"/>
    <w:bookmarkStart w:id="22" w:name="renseignements-complémentaires"/>
    <w:p>
      <w:pPr>
        <w:pStyle w:val="Heading2"/>
      </w:pPr>
      <w:r>
        <w:t xml:space="preserve">Renseignements complémentaires</w:t>
      </w:r>
    </w:p>
    <w:p>
      <w:pPr>
        <w:numPr>
          <w:ilvl w:val="0"/>
          <w:numId w:val="1003"/>
        </w:numPr>
        <w:pStyle w:val="Compact"/>
      </w:pPr>
      <w:r>
        <w:t xml:space="preserve">Raymond Pelletier habite la maison du 214, rang des Érables avec son épouse, Lucille Fournier. Ils se sont mariés en 1974.</w:t>
      </w:r>
    </w:p>
    <w:p>
      <w:pPr>
        <w:numPr>
          <w:ilvl w:val="0"/>
          <w:numId w:val="1003"/>
        </w:numPr>
        <w:pStyle w:val="Compact"/>
      </w:pPr>
      <w:r>
        <w:t xml:space="preserve">Gaston Pelletier demeure à Thetford Mines. État civil à vérifier.</w:t>
      </w:r>
    </w:p>
    <w:p>
      <w:pPr>
        <w:numPr>
          <w:ilvl w:val="0"/>
          <w:numId w:val="1003"/>
        </w:numPr>
        <w:pStyle w:val="Compact"/>
      </w:pPr>
      <w:r>
        <w:t xml:space="preserve">Les deux lots sont situés dans la zone agricole permanente.</w:t>
      </w:r>
    </w:p>
    <w:p>
      <w:pPr>
        <w:numPr>
          <w:ilvl w:val="0"/>
          <w:numId w:val="1003"/>
        </w:numPr>
        <w:pStyle w:val="Compact"/>
      </w:pPr>
      <w:r>
        <w:t xml:space="preserve">Aucune description technique ni plan d’arpenteur au dossier. Seul document : un croquis à la main, non daté, attribué à Fernand Girard.</w:t>
      </w:r>
    </w:p>
    <w:p>
      <w:r>
        <w:pict>
          <v:rect style="width:0;height:1.5pt" o:hralign="center" o:hrstd="t" o:hr="t"/>
        </w:pict>
      </w:r>
    </w:p>
    <w:p>
      <w:pPr>
        <w:pStyle w:val="FirstParagraph"/>
      </w:pPr>
      <w:r>
        <w:rPr>
          <w:iCs/>
          <w:i/>
        </w:rPr>
        <w:t xml:space="preserve">Document fictif — Hackathon CAIJ. Personnes et faits inventés.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2026-10-13T13:50:58Z</dcterms:created>
  <dcterms:modified xsi:type="dcterms:W3CDTF">2026-10-13T13:50:58Z</dcterms:modified>
</cp:coreProperties>
</file>

<file path=docProps/custom.xml><?xml version="1.0" encoding="utf-8"?>
<Properties xmlns="http://schemas.openxmlformats.org/officeDocument/2006/custom-properties" xmlns:vt="http://schemas.openxmlformats.org/officeDocument/2006/docPropsVTypes"/>
</file>