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notes-dexamen-des-titres"/>
    <w:p>
      <w:pPr>
        <w:pStyle w:val="Heading1"/>
      </w:pPr>
      <w:r>
        <w:t xml:space="preserve">Notes d’examen des titres</w:t>
      </w:r>
    </w:p>
    <w:p>
      <w:pPr>
        <w:pStyle w:val="FirstParagraph"/>
      </w:pPr>
      <w:r>
        <w:rPr>
          <w:bCs/>
          <w:b/>
        </w:rPr>
        <w:t xml:space="preserve">Étude de Me François Gendron, notaire</w:t>
      </w:r>
      <w:r>
        <w:br/>
      </w:r>
      <w:r>
        <w:rPr>
          <w:bCs/>
          <w:b/>
        </w:rPr>
        <w:t xml:space="preserve">Dossier :</w:t>
      </w:r>
      <w:r>
        <w:t xml:space="preserve"> </w:t>
      </w:r>
      <w:r>
        <w:t xml:space="preserve">2026-1187 — Vente Lapointe à Simard et Tran</w:t>
      </w:r>
      <w:r>
        <w:br/>
      </w:r>
      <w:r>
        <w:rPr>
          <w:bCs/>
          <w:b/>
        </w:rPr>
        <w:t xml:space="preserve">Préparées par :</w:t>
      </w:r>
      <w:r>
        <w:t xml:space="preserve"> </w:t>
      </w:r>
      <w:r>
        <w:t xml:space="preserve">Sonia Lachance, technicienne juridique</w:t>
      </w:r>
      <w:r>
        <w:br/>
      </w:r>
      <w:r>
        <w:rPr>
          <w:bCs/>
          <w:b/>
        </w:rPr>
        <w:t xml:space="preserve">Date :</w:t>
      </w:r>
      <w:r>
        <w:t xml:space="preserve"> </w:t>
      </w:r>
      <w:r>
        <w:t xml:space="preserve">22 octobre 2026</w:t>
      </w:r>
    </w:p>
    <w:p>
      <w:pPr>
        <w:pStyle w:val="BodyText"/>
      </w:pPr>
      <w:r>
        <w:rPr>
          <w:iCs/>
          <w:i/>
        </w:rPr>
        <w:t xml:space="preserve">Document fictif, rédigé pour l’exercice. Les numéros d’inscription sont inventés.</w:t>
      </w:r>
    </w:p>
    <w:bookmarkStart w:id="20" w:name="immeuble"/>
    <w:p>
      <w:pPr>
        <w:pStyle w:val="Heading2"/>
      </w:pPr>
      <w:r>
        <w:t xml:space="preserve">Immeuble</w:t>
      </w:r>
    </w:p>
    <w:p>
      <w:pPr>
        <w:pStyle w:val="FirstParagraph"/>
      </w:pPr>
      <w:r>
        <w:t xml:space="preserve">Lot 1 234 567 du cadastre du Québec, circonscription foncière de Québec. Avec bâtisse portant les numéros 1482 et 1484, 9e Avenue, Québec.</w:t>
      </w:r>
    </w:p>
    <w:bookmarkEnd w:id="20"/>
    <w:bookmarkStart w:id="21" w:name="chaîne-de-titres"/>
    <w:p>
      <w:pPr>
        <w:pStyle w:val="Heading2"/>
      </w:pPr>
      <w:r>
        <w:t xml:space="preserve">Chaîne de titres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Titre du vendeur :</w:t>
      </w:r>
      <w:r>
        <w:t xml:space="preserve"> </w:t>
      </w:r>
      <w:r>
        <w:t xml:space="preserve">vente par Rita Gosselin à</w:t>
      </w:r>
      <w:r>
        <w:t xml:space="preserve"> </w:t>
      </w:r>
      <w:r>
        <w:rPr>
          <w:bCs/>
          <w:b/>
        </w:rPr>
        <w:t xml:space="preserve">Yvon Lapointe</w:t>
      </w:r>
      <w:r>
        <w:t xml:space="preserve">, reçue par Me Paul-Émile Drouin, notaire, le 26 juin 1998, publiée à Québec sous le numéro 1 600 111. M. Lapointe est seul acquéreur. L’acte indique qu’il est marié à Diane Bélanger sous le régime de la société d’acquêts, sans contrat de mariage (mariage du 6 juin 1981).</w:t>
      </w:r>
    </w:p>
    <w:bookmarkEnd w:id="21"/>
    <w:bookmarkStart w:id="22" w:name="charges-publiées"/>
    <w:p>
      <w:pPr>
        <w:pStyle w:val="Heading2"/>
      </w:pPr>
      <w:r>
        <w:t xml:space="preserve">Charges publiées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Hypothèque</w:t>
      </w:r>
      <w:r>
        <w:t xml:space="preserve"> </w:t>
      </w:r>
      <w:r>
        <w:t xml:space="preserve">en faveur de la Caisse populaire de Limoilou, reçue par Me Hélène Marcoux, notaire, le 3 mai 2012, publiée sous le numéro 19 000 222. Montant initial : 120 000 $. À faire : demander l’état de compte pour le remboursement.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Servitude</w:t>
      </w:r>
      <w:r>
        <w:t xml:space="preserve"> </w:t>
      </w:r>
      <w:r>
        <w:t xml:space="preserve">en faveur d’Hydro-Québec et de Bell Canada, publiée le 14 septembre 1962 sous le numéro 500 333, sur une lisière de 1,5 mètre le long de la ligne arrière du lot.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Déclaration de résidence familiale :</w:t>
      </w:r>
      <w:r>
        <w:t xml:space="preserve"> </w:t>
      </w:r>
      <w:r>
        <w:t xml:space="preserve">aucune au registre.</w:t>
      </w:r>
    </w:p>
    <w:p>
      <w:pPr>
        <w:numPr>
          <w:ilvl w:val="0"/>
          <w:numId w:val="1002"/>
        </w:numPr>
        <w:pStyle w:val="Compact"/>
      </w:pPr>
      <w:r>
        <w:t xml:space="preserve">Aucune autre inscription.</w:t>
      </w:r>
    </w:p>
    <w:bookmarkEnd w:id="22"/>
    <w:bookmarkStart w:id="23" w:name="certificat-de-localisation"/>
    <w:p>
      <w:pPr>
        <w:pStyle w:val="Heading2"/>
      </w:pPr>
      <w:r>
        <w:t xml:space="preserve">Certificat de localisation</w:t>
      </w:r>
    </w:p>
    <w:p>
      <w:pPr>
        <w:numPr>
          <w:ilvl w:val="0"/>
          <w:numId w:val="1003"/>
        </w:numPr>
        <w:pStyle w:val="Compact"/>
      </w:pPr>
      <w:r>
        <w:t xml:space="preserve">Préparé par Benoît Roussel, arpenteur-géomètre, le 8 avril 2009, sous le numéro 4 512 de ses minutes.</w:t>
      </w:r>
    </w:p>
    <w:p>
      <w:pPr>
        <w:numPr>
          <w:ilvl w:val="0"/>
          <w:numId w:val="1003"/>
        </w:numPr>
        <w:pStyle w:val="Compact"/>
      </w:pPr>
      <w:r>
        <w:t xml:space="preserve">Il montre le duplex et une remise.</w:t>
      </w:r>
      <w:r>
        <w:t xml:space="preserve"> </w:t>
      </w:r>
      <w:r>
        <w:rPr>
          <w:bCs/>
          <w:b/>
        </w:rPr>
        <w:t xml:space="preserve">Il ne montre aucun garage.</w:t>
      </w:r>
    </w:p>
    <w:p>
      <w:pPr>
        <w:numPr>
          <w:ilvl w:val="0"/>
          <w:numId w:val="1003"/>
        </w:numPr>
        <w:pStyle w:val="Compact"/>
      </w:pPr>
      <w:r>
        <w:t xml:space="preserve">Il mentionne la servitude de 1962.</w:t>
      </w:r>
    </w:p>
    <w:p>
      <w:pPr>
        <w:numPr>
          <w:ilvl w:val="0"/>
          <w:numId w:val="1003"/>
        </w:numPr>
        <w:pStyle w:val="Compact"/>
      </w:pPr>
      <w:r>
        <w:t xml:space="preserve">Il signale que l’escalier extérieur arrière se trouve à 0,9 mètre de la ligne latérale nord, alors que le règlement de zonage exigeait alors 1,5 mètre. L’arpenteur note que la situation pourrait bénéficier de droits acquis.</w:t>
      </w:r>
    </w:p>
    <w:p>
      <w:pPr>
        <w:numPr>
          <w:ilvl w:val="0"/>
          <w:numId w:val="1003"/>
        </w:numPr>
        <w:pStyle w:val="Compact"/>
      </w:pPr>
      <w:r>
        <w:t xml:space="preserve">Zonage résidentiel. L’immeuble n’est pas en zone agricole ni dans un site patrimonial.</w:t>
      </w:r>
    </w:p>
    <w:bookmarkEnd w:id="23"/>
    <w:bookmarkStart w:id="24" w:name="taxes"/>
    <w:p>
      <w:pPr>
        <w:pStyle w:val="Heading2"/>
      </w:pPr>
      <w:r>
        <w:t xml:space="preserve">Taxes</w:t>
      </w:r>
    </w:p>
    <w:p>
      <w:pPr>
        <w:numPr>
          <w:ilvl w:val="0"/>
          <w:numId w:val="1004"/>
        </w:numPr>
        <w:pStyle w:val="Compact"/>
      </w:pPr>
      <w:r>
        <w:t xml:space="preserve">Taxes municipales 2026 : 4 380 $. Payées au complet.</w:t>
      </w:r>
    </w:p>
    <w:p>
      <w:pPr>
        <w:numPr>
          <w:ilvl w:val="0"/>
          <w:numId w:val="1004"/>
        </w:numPr>
        <w:pStyle w:val="Compact"/>
      </w:pPr>
      <w:r>
        <w:t xml:space="preserve">Taxes scolaires 2026-2027 : 412 $. Payées.</w:t>
      </w:r>
    </w:p>
    <w:bookmarkEnd w:id="24"/>
    <w:bookmarkStart w:id="25" w:name="points-à-régler-avec-me-gendron"/>
    <w:p>
      <w:pPr>
        <w:pStyle w:val="Heading2"/>
      </w:pPr>
      <w:r>
        <w:t xml:space="preserve">Points à régler avec Me Gendron</w:t>
      </w:r>
    </w:p>
    <w:p>
      <w:pPr>
        <w:numPr>
          <w:ilvl w:val="0"/>
          <w:numId w:val="1005"/>
        </w:numPr>
        <w:pStyle w:val="Compact"/>
      </w:pPr>
      <w:r>
        <w:t xml:space="preserve">Le certificat de localisation a dix-sept ans.</w:t>
      </w:r>
    </w:p>
    <w:p>
      <w:pPr>
        <w:numPr>
          <w:ilvl w:val="0"/>
          <w:numId w:val="1005"/>
        </w:numPr>
        <w:pStyle w:val="Compact"/>
      </w:pPr>
      <w:r>
        <w:t xml:space="preserve">Le garage : où est-il par rapport à la servitude et aux lignes du lot ? Y a-t-il eu un permis ?</w:t>
      </w:r>
    </w:p>
    <w:p>
      <w:pPr>
        <w:numPr>
          <w:ilvl w:val="0"/>
          <w:numId w:val="1005"/>
        </w:numPr>
        <w:pStyle w:val="Compact"/>
      </w:pPr>
      <w:r>
        <w:t xml:space="preserve">L’immeuble est la résidence du vendeur et de son épouse.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2026-10-13T13:50:59Z</dcterms:created>
  <dcterms:modified xsi:type="dcterms:W3CDTF">2026-10-13T13:50:59Z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