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Story 1</w:t>
        <w:br w:type="textWrapping"/>
        <w:br w:type="textWrapping"/>
        <w:t xml:space="preserve">IDM: works in the backend app adding, modifying and removing user data.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Logs in locally, sees IDM search page. On IDM search page sees a form that can fill with full or partial information to get results, has a toggle button to create a new user. Results are visible on List database page. IDM user can select one search result and go to the User information page where (s)he has option to rewrite content or delete the user.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Story 2</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Data Engineer(DE): Works in the backend app adding, modifying and removing asset data.</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Logs in locally, sees Asset search page.  On Asset search page sees a form that can fill with full or partial information to get results, has a toggle button to create a new user. Results are visible on List database page. DE user can select one search result and go to the Asset information page where (s)he has option to rewrite content or delete the user.</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Story 3</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Enduser: works in the Frontend app, is tracked, can submit feedback and request information</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Logs in by phone sees a map that centers on user location, can search for other locations and sees a list of information cards of assets and all users that are nearby. Can select an information card of a user or asset and browse available information.</w:t>
        <w:br w:type="textWrapping"/>
        <w:br w:type="textWrapping"/>
        <w:t xml:space="preserve"> Once user location is close enough to the asset, user can tag themselves as “on site”. User tag status “on site” remains until user travels far enough away from the Asset location.</w:t>
        <w:br w:type="textWrapping"/>
        <w:t xml:space="preserve">Any user can give feedback to any asset, that feedback is visible only to users that are working on the asset tagged “on site” and anyone that is looking at this specific Asset information.</w:t>
        <w:br w:type="textWrapping"/>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